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0"/>
        <w:gridCol w:w="5210"/>
      </w:tblGrid>
      <w:tr w:rsidR="00992AD0" w:rsidRPr="00992AD0" w:rsidTr="00992A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pStyle w:val="a6"/>
              <w:spacing w:after="0" w:line="276" w:lineRule="auto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92AD0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992AD0" w:rsidRPr="00992AD0" w:rsidRDefault="00992AD0">
            <w:pPr>
              <w:pStyle w:val="a6"/>
              <w:spacing w:after="0" w:line="276" w:lineRule="auto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92AD0">
              <w:rPr>
                <w:color w:val="000000"/>
                <w:sz w:val="28"/>
                <w:szCs w:val="28"/>
                <w:lang w:val="kk-KZ"/>
              </w:rPr>
              <w:t>Қостанай мемлекеттік</w:t>
            </w:r>
          </w:p>
          <w:p w:rsidR="00992AD0" w:rsidRPr="00992AD0" w:rsidRDefault="00992AD0">
            <w:pPr>
              <w:pStyle w:val="a6"/>
              <w:spacing w:after="0"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92AD0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pStyle w:val="a6"/>
              <w:spacing w:after="0" w:line="276" w:lineRule="auto"/>
              <w:ind w:left="1027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92AD0"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992AD0" w:rsidRPr="00992AD0" w:rsidTr="00992A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992AD0" w:rsidRPr="00992AD0" w:rsidTr="00992A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2AD0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2AD0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992AD0" w:rsidRPr="00992AD0" w:rsidTr="00992A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spacing w:line="276" w:lineRule="auto"/>
              <w:jc w:val="center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2AD0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tabs>
                <w:tab w:val="left" w:pos="1027"/>
              </w:tabs>
              <w:spacing w:line="276" w:lineRule="auto"/>
              <w:jc w:val="center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2AD0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992AD0" w:rsidRPr="00992AD0" w:rsidTr="00992A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pStyle w:val="a6"/>
              <w:spacing w:line="276" w:lineRule="auto"/>
              <w:ind w:hanging="283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92AD0">
              <w:rPr>
                <w:color w:val="000000"/>
                <w:sz w:val="28"/>
                <w:szCs w:val="28"/>
              </w:rPr>
              <w:t>09.10.2019</w:t>
            </w:r>
            <w:r w:rsidRPr="00992AD0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pStyle w:val="a6"/>
              <w:spacing w:line="27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992AD0">
              <w:rPr>
                <w:color w:val="000000"/>
                <w:sz w:val="28"/>
                <w:szCs w:val="28"/>
                <w:lang w:val="kk-KZ"/>
              </w:rPr>
              <w:t>09.10.2019г.</w:t>
            </w:r>
          </w:p>
        </w:tc>
      </w:tr>
      <w:tr w:rsidR="00992AD0" w:rsidRPr="00992AD0" w:rsidTr="00992A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AD0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AD0" w:rsidRPr="00992AD0" w:rsidRDefault="00992AD0">
            <w:pPr>
              <w:pStyle w:val="a6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92AD0"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992AD0" w:rsidRPr="00992AD0" w:rsidRDefault="00992AD0" w:rsidP="008E04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2AD0" w:rsidRDefault="00992AD0" w:rsidP="008E04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2AD0" w:rsidRDefault="00992AD0" w:rsidP="008E04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F91" w:rsidRPr="0011728B" w:rsidRDefault="008E0485" w:rsidP="008E04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и перспективах финансируемых НИОКР, коммерциализации полученных результатов, модернизации материально-технической базы </w:t>
      </w:r>
      <w:r w:rsidR="00FD189A" w:rsidRPr="0011728B">
        <w:rPr>
          <w:rFonts w:ascii="Times New Roman" w:hAnsi="Times New Roman" w:cs="Times New Roman"/>
          <w:b/>
          <w:bCs/>
          <w:sz w:val="28"/>
          <w:szCs w:val="28"/>
        </w:rPr>
        <w:t>регионального «</w:t>
      </w:r>
      <w:proofErr w:type="spellStart"/>
      <w:r w:rsidR="00FD189A" w:rsidRPr="0011728B">
        <w:rPr>
          <w:rFonts w:ascii="Times New Roman" w:hAnsi="Times New Roman" w:cs="Times New Roman"/>
          <w:b/>
          <w:bCs/>
          <w:sz w:val="28"/>
          <w:szCs w:val="28"/>
        </w:rPr>
        <w:t>Smart</w:t>
      </w:r>
      <w:proofErr w:type="spellEnd"/>
      <w:r w:rsidR="00FD189A"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-центра» </w:t>
      </w:r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0485" w:rsidRPr="0011728B" w:rsidRDefault="008E0485" w:rsidP="008E04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2A39" w:rsidRPr="0011728B" w:rsidRDefault="0008438E" w:rsidP="00B62A3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28B">
        <w:rPr>
          <w:rFonts w:ascii="Times New Roman" w:hAnsi="Times New Roman" w:cs="Times New Roman"/>
          <w:bCs/>
          <w:sz w:val="28"/>
          <w:szCs w:val="28"/>
        </w:rPr>
        <w:t>Основные задач</w:t>
      </w:r>
      <w:r w:rsidR="00B62A39" w:rsidRPr="0011728B">
        <w:rPr>
          <w:rFonts w:ascii="Times New Roman" w:hAnsi="Times New Roman" w:cs="Times New Roman"/>
          <w:bCs/>
          <w:sz w:val="28"/>
          <w:szCs w:val="28"/>
        </w:rPr>
        <w:t>и, стоящи</w:t>
      </w:r>
      <w:r w:rsidR="00CB5A89" w:rsidRPr="0011728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B62A39" w:rsidRPr="0011728B">
        <w:rPr>
          <w:rFonts w:ascii="Times New Roman" w:hAnsi="Times New Roman" w:cs="Times New Roman"/>
          <w:bCs/>
          <w:sz w:val="28"/>
          <w:szCs w:val="28"/>
        </w:rPr>
        <w:t xml:space="preserve">перед </w:t>
      </w:r>
      <w:r w:rsidR="00FD189A" w:rsidRPr="0011728B">
        <w:rPr>
          <w:rFonts w:ascii="Times New Roman" w:hAnsi="Times New Roman" w:cs="Times New Roman"/>
          <w:bCs/>
          <w:sz w:val="28"/>
          <w:szCs w:val="28"/>
        </w:rPr>
        <w:t>региональным «</w:t>
      </w:r>
      <w:proofErr w:type="spellStart"/>
      <w:r w:rsidR="00FD189A" w:rsidRPr="0011728B">
        <w:rPr>
          <w:rFonts w:ascii="Times New Roman" w:hAnsi="Times New Roman" w:cs="Times New Roman"/>
          <w:bCs/>
          <w:sz w:val="28"/>
          <w:szCs w:val="28"/>
        </w:rPr>
        <w:t>Smart</w:t>
      </w:r>
      <w:proofErr w:type="spellEnd"/>
      <w:r w:rsidR="00FD189A" w:rsidRPr="0011728B">
        <w:rPr>
          <w:rFonts w:ascii="Times New Roman" w:hAnsi="Times New Roman" w:cs="Times New Roman"/>
          <w:bCs/>
          <w:sz w:val="28"/>
          <w:szCs w:val="28"/>
        </w:rPr>
        <w:t xml:space="preserve">-центром» </w:t>
      </w:r>
      <w:r w:rsidR="00B62A39" w:rsidRPr="0011728B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28B">
        <w:rPr>
          <w:rFonts w:ascii="Times New Roman" w:hAnsi="Times New Roman" w:cs="Times New Roman"/>
          <w:bCs/>
          <w:sz w:val="28"/>
          <w:szCs w:val="28"/>
        </w:rPr>
        <w:t>1) укрепление сотрудничества и практики непрерывного обмена передовым опытом;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28B">
        <w:rPr>
          <w:rFonts w:ascii="Times New Roman" w:hAnsi="Times New Roman" w:cs="Times New Roman"/>
          <w:bCs/>
          <w:sz w:val="28"/>
          <w:szCs w:val="28"/>
        </w:rPr>
        <w:tab/>
        <w:t>2) анализ текущих реформ, а также поиск общих эффективных решений;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28B">
        <w:rPr>
          <w:rFonts w:ascii="Times New Roman" w:hAnsi="Times New Roman" w:cs="Times New Roman"/>
          <w:bCs/>
          <w:sz w:val="28"/>
          <w:szCs w:val="28"/>
        </w:rPr>
        <w:tab/>
        <w:t xml:space="preserve">3) </w:t>
      </w:r>
      <w:proofErr w:type="spellStart"/>
      <w:r w:rsidRPr="0011728B">
        <w:rPr>
          <w:rFonts w:ascii="Times New Roman" w:hAnsi="Times New Roman" w:cs="Times New Roman"/>
          <w:bCs/>
          <w:sz w:val="28"/>
          <w:szCs w:val="28"/>
        </w:rPr>
        <w:t>цифровизация</w:t>
      </w:r>
      <w:proofErr w:type="spellEnd"/>
      <w:r w:rsidRPr="0011728B">
        <w:rPr>
          <w:rFonts w:ascii="Times New Roman" w:hAnsi="Times New Roman" w:cs="Times New Roman"/>
          <w:bCs/>
          <w:sz w:val="28"/>
          <w:szCs w:val="28"/>
        </w:rPr>
        <w:t xml:space="preserve"> объектов сельского хозяйства и промышленности региона, </w:t>
      </w:r>
      <w:proofErr w:type="spellStart"/>
      <w:r w:rsidRPr="0011728B">
        <w:rPr>
          <w:rFonts w:ascii="Times New Roman" w:hAnsi="Times New Roman" w:cs="Times New Roman"/>
          <w:bCs/>
          <w:sz w:val="28"/>
          <w:szCs w:val="28"/>
        </w:rPr>
        <w:t>критериальная</w:t>
      </w:r>
      <w:proofErr w:type="spellEnd"/>
      <w:r w:rsidRPr="0011728B">
        <w:rPr>
          <w:rFonts w:ascii="Times New Roman" w:hAnsi="Times New Roman" w:cs="Times New Roman"/>
          <w:bCs/>
          <w:sz w:val="28"/>
          <w:szCs w:val="28"/>
        </w:rPr>
        <w:t xml:space="preserve"> оценка полученных результатов; 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28B">
        <w:rPr>
          <w:rFonts w:ascii="Times New Roman" w:hAnsi="Times New Roman" w:cs="Times New Roman"/>
          <w:bCs/>
          <w:sz w:val="28"/>
          <w:szCs w:val="28"/>
        </w:rPr>
        <w:tab/>
        <w:t xml:space="preserve">4) развитие сотрудничества государственно-частного партнерства, взаимодействие с научно-исследовательскими организациями, зарубежными учреждениями, проведение выставок, семинаров, </w:t>
      </w:r>
      <w:proofErr w:type="spellStart"/>
      <w:r w:rsidRPr="0011728B">
        <w:rPr>
          <w:rFonts w:ascii="Times New Roman" w:hAnsi="Times New Roman" w:cs="Times New Roman"/>
          <w:bCs/>
          <w:sz w:val="28"/>
          <w:szCs w:val="28"/>
        </w:rPr>
        <w:t>вебинаров</w:t>
      </w:r>
      <w:proofErr w:type="spellEnd"/>
      <w:r w:rsidRPr="0011728B">
        <w:rPr>
          <w:rFonts w:ascii="Times New Roman" w:hAnsi="Times New Roman" w:cs="Times New Roman"/>
          <w:bCs/>
          <w:sz w:val="28"/>
          <w:szCs w:val="28"/>
        </w:rPr>
        <w:t>, саммитов, публикаций;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28B">
        <w:rPr>
          <w:rFonts w:ascii="Times New Roman" w:hAnsi="Times New Roman" w:cs="Times New Roman"/>
          <w:bCs/>
          <w:sz w:val="28"/>
          <w:szCs w:val="28"/>
        </w:rPr>
        <w:tab/>
        <w:t>5) разработка собственных и трансферт существующих перспективных технологий;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28B">
        <w:rPr>
          <w:rFonts w:ascii="Times New Roman" w:hAnsi="Times New Roman" w:cs="Times New Roman"/>
          <w:bCs/>
          <w:sz w:val="28"/>
          <w:szCs w:val="28"/>
        </w:rPr>
        <w:tab/>
        <w:t>6) подготовка и переподготовка кадров, повышение квалификации в области специальных производственных и IT-технологии;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28B">
        <w:rPr>
          <w:rFonts w:ascii="Times New Roman" w:hAnsi="Times New Roman" w:cs="Times New Roman"/>
          <w:bCs/>
          <w:sz w:val="28"/>
          <w:szCs w:val="28"/>
        </w:rPr>
        <w:tab/>
        <w:t xml:space="preserve">7) открытие центра аналитики и информационно-телекоммуникационных технологий по </w:t>
      </w:r>
      <w:proofErr w:type="spellStart"/>
      <w:r w:rsidRPr="0011728B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11728B"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28B">
        <w:rPr>
          <w:rFonts w:ascii="Times New Roman" w:hAnsi="Times New Roman" w:cs="Times New Roman"/>
          <w:bCs/>
          <w:sz w:val="28"/>
          <w:szCs w:val="28"/>
        </w:rPr>
        <w:tab/>
        <w:t>8) формирование благоприятных условий для реализации совместных программ и проектов.</w:t>
      </w:r>
    </w:p>
    <w:p w:rsidR="002F6868" w:rsidRPr="0011728B" w:rsidRDefault="002F6868" w:rsidP="002B7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b/>
          <w:bCs/>
          <w:sz w:val="28"/>
          <w:szCs w:val="28"/>
        </w:rPr>
        <w:t>Реализация проектов (019 БП):</w:t>
      </w:r>
    </w:p>
    <w:p w:rsidR="00350857" w:rsidRPr="0011728B" w:rsidRDefault="00605FC3" w:rsidP="008D57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инновационной цифровой системы кормления в животноводческих комплексах </w:t>
      </w:r>
      <w:proofErr w:type="spellStart"/>
      <w:r w:rsidRPr="0011728B">
        <w:rPr>
          <w:rFonts w:ascii="Times New Roman" w:hAnsi="Times New Roman" w:cs="Times New Roman"/>
          <w:b/>
          <w:bCs/>
          <w:sz w:val="28"/>
          <w:szCs w:val="28"/>
        </w:rPr>
        <w:t>Костанайской</w:t>
      </w:r>
      <w:proofErr w:type="spellEnd"/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на примере ТОО «</w:t>
      </w:r>
      <w:proofErr w:type="spellStart"/>
      <w:r w:rsidRPr="0011728B">
        <w:rPr>
          <w:rFonts w:ascii="Times New Roman" w:hAnsi="Times New Roman" w:cs="Times New Roman"/>
          <w:b/>
          <w:bCs/>
          <w:sz w:val="28"/>
          <w:szCs w:val="28"/>
        </w:rPr>
        <w:t>Олжа</w:t>
      </w:r>
      <w:proofErr w:type="spellEnd"/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 Агро» 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Место реализации мероприятий: г.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Цифровой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Парасат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с.Садчиковка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>, ТОО «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Олжа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Агро»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Целью проекта является повышение продуктивности и производительности труда в животноводстве региона, путем внедрения автоматизированной системы кормления.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ab/>
        <w:t>Результаты на данный период:</w:t>
      </w:r>
    </w:p>
    <w:p w:rsidR="00350857" w:rsidRPr="0011728B" w:rsidRDefault="00605FC3" w:rsidP="002F686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Олжа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Агро» приобрели автоматизированную станцию выпойки телят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Alma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компании «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>» (Германия), выполняются монтажные работы установки, адаптация системы;</w:t>
      </w:r>
    </w:p>
    <w:p w:rsidR="00350857" w:rsidRPr="0011728B" w:rsidRDefault="00605FC3" w:rsidP="002F686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lastRenderedPageBreak/>
        <w:t xml:space="preserve">По плану реализации приобретено: одноразовые ошейники с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респондорами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, гарантийный пакет обслуживания и комплектующие к автопоилке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КормоМАМА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(соски и т.д.) </w:t>
      </w:r>
    </w:p>
    <w:p w:rsidR="00350857" w:rsidRPr="0011728B" w:rsidRDefault="00605FC3" w:rsidP="002F686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Запланированы обучающие выезды на демонстрационную площадку в ТОО «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Олжа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Агро» с 01.11.2019 г. – 11.11.2019 г.  </w:t>
      </w:r>
    </w:p>
    <w:p w:rsidR="00350857" w:rsidRPr="0011728B" w:rsidRDefault="00605FC3" w:rsidP="002F686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По результатам будет опубликована статья в рецензируемом зарубежном научном издании, индексируемом в базах данных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с ненулевым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-фактором, 1 рекомендация для животноводческих предприятии, подана заявка на патент на полезную модель в казахстанском патентном бюро. 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b/>
          <w:bCs/>
          <w:sz w:val="28"/>
          <w:szCs w:val="28"/>
        </w:rPr>
        <w:t>На базе регионального «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Smart</w:t>
      </w:r>
      <w:r w:rsidRPr="0011728B">
        <w:rPr>
          <w:rFonts w:ascii="Times New Roman" w:hAnsi="Times New Roman" w:cs="Times New Roman"/>
          <w:b/>
          <w:bCs/>
          <w:sz w:val="28"/>
          <w:szCs w:val="28"/>
        </w:rPr>
        <w:t>-центра» реализуется грант офисов трансферта/ коммерциализации технологий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Заключен договор с Комитет науки Министерства образования и науки Республики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Казахстанна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сумму в размере 94 410 000 тенге, срок реализации – 2020 год.</w:t>
      </w:r>
    </w:p>
    <w:p w:rsidR="00350857" w:rsidRPr="0011728B" w:rsidRDefault="00605FC3" w:rsidP="002F686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Будут обучены 150 сотрудников английскому языку с получением сертификатов </w:t>
      </w:r>
      <w:r w:rsidRPr="0011728B">
        <w:rPr>
          <w:rFonts w:ascii="Times New Roman" w:hAnsi="Times New Roman" w:cs="Times New Roman"/>
          <w:sz w:val="28"/>
          <w:szCs w:val="28"/>
          <w:lang w:val="en-US"/>
        </w:rPr>
        <w:t>TOEFL</w:t>
      </w:r>
      <w:r w:rsidRPr="0011728B">
        <w:rPr>
          <w:rFonts w:ascii="Times New Roman" w:hAnsi="Times New Roman" w:cs="Times New Roman"/>
          <w:sz w:val="28"/>
          <w:szCs w:val="28"/>
        </w:rPr>
        <w:t>/</w:t>
      </w:r>
      <w:r w:rsidRPr="0011728B">
        <w:rPr>
          <w:rFonts w:ascii="Times New Roman" w:hAnsi="Times New Roman" w:cs="Times New Roman"/>
          <w:sz w:val="28"/>
          <w:szCs w:val="28"/>
          <w:lang w:val="en-US"/>
        </w:rPr>
        <w:t>IELTS</w:t>
      </w:r>
    </w:p>
    <w:p w:rsidR="00350857" w:rsidRPr="0011728B" w:rsidRDefault="00605FC3" w:rsidP="002F686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работа по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привлению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международной компании в 2020 году, которая подготовит учебную программу и проведет цикл семинаров и лекций по повышению потенциала и развитию компетенции сотрудников ОТТ/ОКТ</w:t>
      </w:r>
      <w:r w:rsidRPr="0011728B">
        <w:rPr>
          <w:rFonts w:ascii="Times New Roman" w:hAnsi="Times New Roman" w:cs="Times New Roman"/>
          <w:sz w:val="28"/>
          <w:szCs w:val="28"/>
        </w:rPr>
        <w:tab/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b/>
          <w:bCs/>
          <w:sz w:val="28"/>
          <w:szCs w:val="28"/>
        </w:rPr>
        <w:t>На базе регионального «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Smart</w:t>
      </w:r>
      <w:r w:rsidRPr="0011728B">
        <w:rPr>
          <w:rFonts w:ascii="Times New Roman" w:hAnsi="Times New Roman" w:cs="Times New Roman"/>
          <w:b/>
          <w:bCs/>
          <w:sz w:val="28"/>
          <w:szCs w:val="28"/>
        </w:rPr>
        <w:t>-центра» реализуется грант офисов трансферта/ коммерциализации технологий</w:t>
      </w:r>
    </w:p>
    <w:p w:rsidR="002F6868" w:rsidRPr="0011728B" w:rsidRDefault="002F6868" w:rsidP="002F68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Заключен договор с Комитет науки Министерства образования и науки Республики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Казахстанна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сумму в размере 94 410 000 тенге, срок реализации – 2020 год.</w:t>
      </w:r>
    </w:p>
    <w:p w:rsidR="00350857" w:rsidRPr="0011728B" w:rsidRDefault="00605FC3" w:rsidP="002F686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Будут обучены 150 сотрудников английскому языку с получением сертификатов </w:t>
      </w:r>
      <w:r w:rsidRPr="0011728B">
        <w:rPr>
          <w:rFonts w:ascii="Times New Roman" w:hAnsi="Times New Roman" w:cs="Times New Roman"/>
          <w:sz w:val="28"/>
          <w:szCs w:val="28"/>
          <w:lang w:val="en-US"/>
        </w:rPr>
        <w:t>TOEFL</w:t>
      </w:r>
      <w:r w:rsidRPr="0011728B">
        <w:rPr>
          <w:rFonts w:ascii="Times New Roman" w:hAnsi="Times New Roman" w:cs="Times New Roman"/>
          <w:sz w:val="28"/>
          <w:szCs w:val="28"/>
        </w:rPr>
        <w:t>/</w:t>
      </w:r>
      <w:r w:rsidRPr="0011728B">
        <w:rPr>
          <w:rFonts w:ascii="Times New Roman" w:hAnsi="Times New Roman" w:cs="Times New Roman"/>
          <w:sz w:val="28"/>
          <w:szCs w:val="28"/>
          <w:lang w:val="en-US"/>
        </w:rPr>
        <w:t>IELTS</w:t>
      </w:r>
    </w:p>
    <w:p w:rsidR="00350857" w:rsidRPr="0011728B" w:rsidRDefault="00605FC3" w:rsidP="002F686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работа по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привлению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международной компании в 2020 году, которая подготовит учебную программу и проведет цикл семинаров и лекций по повышению потенциала и развитию компетенции сотрудников ОТТ/ОКТ</w:t>
      </w:r>
      <w:r w:rsidRPr="0011728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4635"/>
        <w:gridCol w:w="2340"/>
        <w:gridCol w:w="2233"/>
      </w:tblGrid>
      <w:tr w:rsidR="002F6868" w:rsidRPr="0011728B" w:rsidTr="008D573B">
        <w:trPr>
          <w:trHeight w:val="351"/>
          <w:jc w:val="center"/>
        </w:trPr>
        <w:tc>
          <w:tcPr>
            <w:tcW w:w="509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проекта</w:t>
            </w:r>
          </w:p>
        </w:tc>
        <w:tc>
          <w:tcPr>
            <w:tcW w:w="2233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bCs/>
                <w:sz w:val="28"/>
                <w:szCs w:val="28"/>
              </w:rPr>
              <w:t>Запрашиваемая сумма финансирования, тенге</w:t>
            </w:r>
          </w:p>
        </w:tc>
      </w:tr>
      <w:tr w:rsidR="002F6868" w:rsidRPr="0011728B" w:rsidTr="008D573B">
        <w:trPr>
          <w:trHeight w:val="517"/>
          <w:jc w:val="center"/>
        </w:trPr>
        <w:tc>
          <w:tcPr>
            <w:tcW w:w="509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Надводная автономная лаборатория для исследования водной части планеты «</w:t>
            </w: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Cognition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Жикеев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233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74 955 940</w:t>
            </w:r>
          </w:p>
        </w:tc>
      </w:tr>
      <w:tr w:rsidR="002F6868" w:rsidRPr="0011728B" w:rsidTr="008D573B">
        <w:trPr>
          <w:trHeight w:val="1035"/>
          <w:jc w:val="center"/>
        </w:trPr>
        <w:tc>
          <w:tcPr>
            <w:tcW w:w="509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Ресурсосберегающие аспекты эффективного обращения с твердыми бытовыми отходами путем их термической переработки для снижения негативного воздействия на окружающую среду  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 Е.А. </w:t>
            </w:r>
          </w:p>
        </w:tc>
        <w:tc>
          <w:tcPr>
            <w:tcW w:w="2233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45 000 000</w:t>
            </w:r>
          </w:p>
        </w:tc>
      </w:tr>
      <w:tr w:rsidR="002F6868" w:rsidRPr="0011728B" w:rsidTr="008D573B">
        <w:trPr>
          <w:trHeight w:val="517"/>
          <w:jc w:val="center"/>
        </w:trPr>
        <w:tc>
          <w:tcPr>
            <w:tcW w:w="509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605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Повышение экономической эффективности интенсификации животноводства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Дамбаулова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Г.К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72 824 528</w:t>
            </w:r>
          </w:p>
        </w:tc>
      </w:tr>
      <w:tr w:rsidR="002F6868" w:rsidRPr="0011728B" w:rsidTr="008D573B">
        <w:trPr>
          <w:trHeight w:val="533"/>
          <w:jc w:val="center"/>
        </w:trPr>
        <w:tc>
          <w:tcPr>
            <w:tcW w:w="509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605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основ технологии эффективной анаэробной ко-ферментации основных органических отходов Республики Казахстан для получения биогаза и биоудобрения, и снижения экологической нагрузки.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Бугубаева А.У.</w:t>
            </w:r>
          </w:p>
        </w:tc>
        <w:tc>
          <w:tcPr>
            <w:tcW w:w="2233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61 848 750</w:t>
            </w:r>
          </w:p>
        </w:tc>
      </w:tr>
      <w:tr w:rsidR="002F6868" w:rsidRPr="0011728B" w:rsidTr="008D573B">
        <w:trPr>
          <w:trHeight w:val="119"/>
          <w:jc w:val="center"/>
        </w:trPr>
        <w:tc>
          <w:tcPr>
            <w:tcW w:w="509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Биогидрометаллургическая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переработка некондиционных полиметаллических руд и концентратов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Амандыкова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А.Б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60 000 000</w:t>
            </w:r>
          </w:p>
        </w:tc>
      </w:tr>
      <w:tr w:rsidR="002F6868" w:rsidRPr="0011728B" w:rsidTr="008D573B">
        <w:trPr>
          <w:trHeight w:val="1035"/>
          <w:jc w:val="center"/>
        </w:trPr>
        <w:tc>
          <w:tcPr>
            <w:tcW w:w="509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Молекулярно-генетические способы повышения качества молока и устойчивости к маститам </w:t>
            </w: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голштинской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 и черно-</w:t>
            </w: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пестрой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 пород казахстанской селекции на основе полиморфизма генов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Кобжасаров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Т.Ж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45 000 000</w:t>
            </w:r>
          </w:p>
        </w:tc>
      </w:tr>
      <w:tr w:rsidR="002F6868" w:rsidRPr="0011728B" w:rsidTr="008D573B">
        <w:trPr>
          <w:trHeight w:val="517"/>
          <w:jc w:val="center"/>
        </w:trPr>
        <w:tc>
          <w:tcPr>
            <w:tcW w:w="509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«Карта микроэлементной обеспеченности почв </w:t>
            </w: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  <w:tc>
          <w:tcPr>
            <w:tcW w:w="234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F6868" w:rsidRPr="0011728B" w:rsidRDefault="002F6868" w:rsidP="002F686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8B">
              <w:rPr>
                <w:rFonts w:ascii="Times New Roman" w:hAnsi="Times New Roman" w:cs="Times New Roman"/>
                <w:sz w:val="28"/>
                <w:szCs w:val="28"/>
              </w:rPr>
              <w:t>52 663 020</w:t>
            </w:r>
          </w:p>
        </w:tc>
      </w:tr>
    </w:tbl>
    <w:p w:rsidR="002F6868" w:rsidRPr="0011728B" w:rsidRDefault="002F6868" w:rsidP="002B7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FC3" w:rsidRPr="0011728B" w:rsidRDefault="00605FC3" w:rsidP="00605F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Ведется разработка проекта по 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Erasmus</w:t>
      </w:r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 + (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Jean</w:t>
      </w:r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Monnet</w:t>
      </w:r>
      <w:r w:rsidRPr="0011728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05FC3" w:rsidRPr="0011728B" w:rsidRDefault="00605FC3" w:rsidP="00605F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11728B">
        <w:rPr>
          <w:rFonts w:ascii="Times New Roman" w:hAnsi="Times New Roman" w:cs="Times New Roman"/>
          <w:sz w:val="28"/>
          <w:szCs w:val="28"/>
        </w:rPr>
        <w:t xml:space="preserve">Трансформация европейского опыта в рамках точного земледелия в условиях Северного Казахстана. </w:t>
      </w:r>
    </w:p>
    <w:p w:rsidR="00605FC3" w:rsidRPr="0011728B" w:rsidRDefault="00605FC3" w:rsidP="002B7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28B" w:rsidRPr="0011728B" w:rsidRDefault="0011728B" w:rsidP="00117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Состоит из трех лабораторий: </w:t>
      </w:r>
    </w:p>
    <w:p w:rsidR="0011728B" w:rsidRPr="0011728B" w:rsidRDefault="0011728B" w:rsidP="00117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«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BIOTECH</w:t>
      </w:r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LAB</w:t>
      </w:r>
      <w:r w:rsidRPr="0011728B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биовыщелачивание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цветных металлов; исследования в области технологий</w:t>
      </w:r>
    </w:p>
    <w:p w:rsidR="0011728B" w:rsidRPr="0011728B" w:rsidRDefault="0011728B" w:rsidP="00117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 утилизации органических отходов с получением биогаза и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и т.д.; </w:t>
      </w:r>
    </w:p>
    <w:p w:rsidR="0011728B" w:rsidRPr="0011728B" w:rsidRDefault="0011728B" w:rsidP="00117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«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AGRO</w:t>
      </w:r>
      <w:r w:rsidRPr="001172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CHEM</w:t>
      </w:r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LAB</w:t>
      </w:r>
      <w:r w:rsidRPr="0011728B">
        <w:rPr>
          <w:rFonts w:ascii="Times New Roman" w:hAnsi="Times New Roman" w:cs="Times New Roman"/>
          <w:sz w:val="28"/>
          <w:szCs w:val="28"/>
        </w:rPr>
        <w:t xml:space="preserve">»: исследование показателей качества почвы и зерна; </w:t>
      </w:r>
    </w:p>
    <w:p w:rsidR="0011728B" w:rsidRPr="0011728B" w:rsidRDefault="0011728B" w:rsidP="00117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«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PHYS</w:t>
      </w:r>
      <w:r w:rsidRPr="001172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CHEM</w:t>
      </w:r>
      <w:r w:rsidRPr="001172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28B">
        <w:rPr>
          <w:rFonts w:ascii="Times New Roman" w:hAnsi="Times New Roman" w:cs="Times New Roman"/>
          <w:b/>
          <w:bCs/>
          <w:sz w:val="28"/>
          <w:szCs w:val="28"/>
          <w:lang w:val="en-US"/>
        </w:rPr>
        <w:t>LAB</w:t>
      </w:r>
      <w:r w:rsidRPr="0011728B">
        <w:rPr>
          <w:rFonts w:ascii="Times New Roman" w:hAnsi="Times New Roman" w:cs="Times New Roman"/>
          <w:sz w:val="28"/>
          <w:szCs w:val="28"/>
        </w:rPr>
        <w:t>»: электрохимические исследования, хроматография и т.д.</w:t>
      </w:r>
    </w:p>
    <w:p w:rsidR="0011728B" w:rsidRPr="0011728B" w:rsidRDefault="0011728B" w:rsidP="00117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Основные задачи созданного лабораторного комплекса:</w:t>
      </w:r>
    </w:p>
    <w:p w:rsidR="00486816" w:rsidRPr="0011728B" w:rsidRDefault="008D573B" w:rsidP="0011728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Привлечение финансовых ресурсов путем реализации инновационных проектов, проектов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и программно-целевого финансирования и т.д.;</w:t>
      </w:r>
    </w:p>
    <w:p w:rsidR="00486816" w:rsidRPr="0011728B" w:rsidRDefault="008D573B" w:rsidP="0011728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Выполнение магистерских и докторских диссертации на базе лабораторного комплекса;</w:t>
      </w:r>
    </w:p>
    <w:p w:rsidR="00486816" w:rsidRPr="0011728B" w:rsidRDefault="008D573B" w:rsidP="0011728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11728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1728B">
        <w:rPr>
          <w:rFonts w:ascii="Times New Roman" w:hAnsi="Times New Roman" w:cs="Times New Roman"/>
          <w:sz w:val="28"/>
          <w:szCs w:val="28"/>
        </w:rPr>
        <w:t>оговорных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тем по оказанию платных услуг;</w:t>
      </w:r>
    </w:p>
    <w:p w:rsidR="00486816" w:rsidRPr="0011728B" w:rsidRDefault="008D573B" w:rsidP="0011728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Оказание платных услуг, после преобразования ВУЗа в НАО.</w:t>
      </w:r>
    </w:p>
    <w:p w:rsidR="00486816" w:rsidRPr="0011728B" w:rsidRDefault="008D573B" w:rsidP="0011728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Разработка собственных и трансферт существующих перспективных технологий;</w:t>
      </w:r>
    </w:p>
    <w:p w:rsidR="00486816" w:rsidRPr="0011728B" w:rsidRDefault="008D573B" w:rsidP="0011728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Реализация и коммерциализация существующих технологии. </w:t>
      </w:r>
    </w:p>
    <w:p w:rsidR="0011728B" w:rsidRPr="0011728B" w:rsidRDefault="0011728B" w:rsidP="00117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 </w:t>
      </w:r>
    </w:p>
    <w:p w:rsidR="0011728B" w:rsidRPr="0011728B" w:rsidRDefault="0011728B" w:rsidP="00117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Планы:</w:t>
      </w:r>
    </w:p>
    <w:p w:rsidR="00486816" w:rsidRPr="0011728B" w:rsidRDefault="008D573B" w:rsidP="0011728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Получение лицензии на работу с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прекурсорами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>.</w:t>
      </w:r>
    </w:p>
    <w:p w:rsidR="00486816" w:rsidRPr="0011728B" w:rsidRDefault="008D573B" w:rsidP="0011728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Подготовка лаборатории и документации для прохождения аккредитации по международным стандартам.</w:t>
      </w:r>
    </w:p>
    <w:p w:rsidR="00486816" w:rsidRPr="0011728B" w:rsidRDefault="008D573B" w:rsidP="0011728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28B">
        <w:rPr>
          <w:rFonts w:ascii="Times New Roman" w:hAnsi="Times New Roman" w:cs="Times New Roman"/>
          <w:sz w:val="28"/>
          <w:szCs w:val="28"/>
        </w:rPr>
        <w:lastRenderedPageBreak/>
        <w:t>Доукомплектация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лабораторного комплекса за счет привлеченного финансирования.</w:t>
      </w:r>
    </w:p>
    <w:p w:rsidR="00486816" w:rsidRPr="0011728B" w:rsidRDefault="008D573B" w:rsidP="0011728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 xml:space="preserve">Разработка новых </w:t>
      </w:r>
      <w:proofErr w:type="spellStart"/>
      <w:r w:rsidRPr="0011728B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11728B">
        <w:rPr>
          <w:rFonts w:ascii="Times New Roman" w:hAnsi="Times New Roman" w:cs="Times New Roman"/>
          <w:sz w:val="28"/>
          <w:szCs w:val="28"/>
        </w:rPr>
        <w:t xml:space="preserve"> проектов и реализация уже имеющихся на базе лабораторного комплекса.  </w:t>
      </w:r>
    </w:p>
    <w:p w:rsidR="00486816" w:rsidRPr="0011728B" w:rsidRDefault="008D573B" w:rsidP="0011728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Проведение повышения квалификации сотрудников лаборатории за счет прохождения стажировок в подобных лабораториях.</w:t>
      </w:r>
    </w:p>
    <w:p w:rsidR="002F6868" w:rsidRPr="0011728B" w:rsidRDefault="002F6868" w:rsidP="002B7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868" w:rsidRPr="0011728B" w:rsidRDefault="00087770" w:rsidP="002B7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770">
        <w:rPr>
          <w:rFonts w:ascii="Times New Roman" w:hAnsi="Times New Roman" w:cs="Times New Roman"/>
          <w:sz w:val="28"/>
          <w:szCs w:val="28"/>
        </w:rPr>
        <w:t>ПАРТНЕР</w:t>
      </w:r>
      <w:proofErr w:type="spellEnd"/>
      <w:r w:rsidRPr="00087770">
        <w:rPr>
          <w:rFonts w:ascii="Times New Roman" w:hAnsi="Times New Roman" w:cs="Times New Roman"/>
          <w:sz w:val="28"/>
          <w:szCs w:val="28"/>
        </w:rPr>
        <w:t xml:space="preserve"> РЕГИОНАЛЬНОГО «</w:t>
      </w:r>
      <w:proofErr w:type="spellStart"/>
      <w:r w:rsidRPr="00087770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87770">
        <w:rPr>
          <w:rFonts w:ascii="Times New Roman" w:hAnsi="Times New Roman" w:cs="Times New Roman"/>
          <w:sz w:val="28"/>
          <w:szCs w:val="28"/>
        </w:rPr>
        <w:t>- ЦЕНТРА»</w:t>
      </w:r>
    </w:p>
    <w:tbl>
      <w:tblPr>
        <w:tblW w:w="1020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1"/>
        <w:gridCol w:w="7088"/>
      </w:tblGrid>
      <w:tr w:rsidR="00087770" w:rsidRPr="00087770" w:rsidTr="008D573B">
        <w:trPr>
          <w:trHeight w:val="572"/>
          <w:jc w:val="center"/>
        </w:trPr>
        <w:tc>
          <w:tcPr>
            <w:tcW w:w="312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НАЗВАНИЕ  КОМПАНИИ</w:t>
            </w:r>
          </w:p>
        </w:tc>
        <w:tc>
          <w:tcPr>
            <w:tcW w:w="7088" w:type="dxa"/>
            <w:tcBorders>
              <w:top w:val="single" w:sz="8" w:space="0" w:color="5B9BD5"/>
              <w:left w:val="single" w:sz="8" w:space="0" w:color="002060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ТОО «ЭКОСЕРВИС-2030»</w:t>
            </w:r>
          </w:p>
        </w:tc>
      </w:tr>
      <w:tr w:rsidR="00087770" w:rsidRPr="00087770" w:rsidTr="008D573B">
        <w:trPr>
          <w:trHeight w:val="656"/>
          <w:jc w:val="center"/>
        </w:trPr>
        <w:tc>
          <w:tcPr>
            <w:tcW w:w="312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 ОБРАЗОВАНИЯ</w:t>
            </w:r>
          </w:p>
        </w:tc>
        <w:tc>
          <w:tcPr>
            <w:tcW w:w="7088" w:type="dxa"/>
            <w:tcBorders>
              <w:top w:val="single" w:sz="8" w:space="0" w:color="5B9BD5"/>
              <w:left w:val="single" w:sz="8" w:space="0" w:color="002060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</w:t>
            </w:r>
          </w:p>
        </w:tc>
      </w:tr>
      <w:tr w:rsidR="00087770" w:rsidRPr="00087770" w:rsidTr="008D573B">
        <w:trPr>
          <w:trHeight w:val="936"/>
          <w:jc w:val="center"/>
        </w:trPr>
        <w:tc>
          <w:tcPr>
            <w:tcW w:w="312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Код ОКВЭД (26.51.6)</w:t>
            </w:r>
          </w:p>
        </w:tc>
        <w:tc>
          <w:tcPr>
            <w:tcW w:w="7088" w:type="dxa"/>
            <w:tcBorders>
              <w:top w:val="single" w:sz="8" w:space="0" w:color="5B9BD5"/>
              <w:left w:val="single" w:sz="8" w:space="0" w:color="002060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Производство прочих приборов, датчиков, аппаратуры и инструментов для измерения, контроля и испытаний</w:t>
            </w:r>
          </w:p>
        </w:tc>
      </w:tr>
      <w:tr w:rsidR="00087770" w:rsidRPr="00087770" w:rsidTr="008D573B">
        <w:trPr>
          <w:trHeight w:val="432"/>
          <w:jc w:val="center"/>
        </w:trPr>
        <w:tc>
          <w:tcPr>
            <w:tcW w:w="312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Отрасль</w:t>
            </w:r>
          </w:p>
        </w:tc>
        <w:tc>
          <w:tcPr>
            <w:tcW w:w="7088" w:type="dxa"/>
            <w:tcBorders>
              <w:top w:val="single" w:sz="8" w:space="0" w:color="5B9BD5"/>
              <w:left w:val="single" w:sz="8" w:space="0" w:color="002060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Теплоэнергетика, электроника</w:t>
            </w:r>
          </w:p>
        </w:tc>
      </w:tr>
      <w:tr w:rsidR="00087770" w:rsidRPr="00087770" w:rsidTr="008D573B">
        <w:trPr>
          <w:trHeight w:val="1016"/>
          <w:jc w:val="center"/>
        </w:trPr>
        <w:tc>
          <w:tcPr>
            <w:tcW w:w="312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 производимые продукты</w:t>
            </w:r>
          </w:p>
        </w:tc>
        <w:tc>
          <w:tcPr>
            <w:tcW w:w="7088" w:type="dxa"/>
            <w:tcBorders>
              <w:top w:val="single" w:sz="8" w:space="0" w:color="5B9BD5"/>
              <w:left w:val="single" w:sz="8" w:space="0" w:color="002060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  Энергосберегающий контроллер «</w:t>
            </w: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VOLNA</w:t>
            </w: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2.0»</w:t>
            </w:r>
          </w:p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 Гидравлический модуль «Змей Горыныч»</w:t>
            </w:r>
          </w:p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  Цифровой мониторинг и комплекс дистанционного управления «</w:t>
            </w: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VOLNA</w:t>
            </w: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DIGITAL</w:t>
            </w: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87770" w:rsidRPr="00087770" w:rsidTr="008D573B">
        <w:trPr>
          <w:trHeight w:val="716"/>
          <w:jc w:val="center"/>
        </w:trPr>
        <w:tc>
          <w:tcPr>
            <w:tcW w:w="312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НАХОЖДЕНИЯ</w:t>
            </w:r>
          </w:p>
        </w:tc>
        <w:tc>
          <w:tcPr>
            <w:tcW w:w="7088" w:type="dxa"/>
            <w:tcBorders>
              <w:top w:val="single" w:sz="8" w:space="0" w:color="5B9BD5"/>
              <w:left w:val="single" w:sz="8" w:space="0" w:color="002060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Костанай</w:t>
            </w:r>
            <w:proofErr w:type="spellEnd"/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1 Мая, 151, оф.12 (офис)</w:t>
            </w:r>
          </w:p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Костанай</w:t>
            </w:r>
            <w:proofErr w:type="spellEnd"/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Карбышева</w:t>
            </w:r>
            <w:proofErr w:type="spellEnd"/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44 (производство)</w:t>
            </w:r>
          </w:p>
        </w:tc>
      </w:tr>
      <w:tr w:rsidR="00087770" w:rsidRPr="00087770" w:rsidTr="008D573B">
        <w:trPr>
          <w:trHeight w:val="614"/>
          <w:jc w:val="center"/>
        </w:trPr>
        <w:tc>
          <w:tcPr>
            <w:tcW w:w="312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СОТУДНИКОВ</w:t>
            </w:r>
          </w:p>
        </w:tc>
        <w:tc>
          <w:tcPr>
            <w:tcW w:w="7088" w:type="dxa"/>
            <w:tcBorders>
              <w:top w:val="single" w:sz="8" w:space="0" w:color="5B9BD5"/>
              <w:left w:val="single" w:sz="8" w:space="0" w:color="002060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087770" w:rsidRPr="00087770" w:rsidTr="008D573B">
        <w:trPr>
          <w:trHeight w:val="936"/>
          <w:jc w:val="center"/>
        </w:trPr>
        <w:tc>
          <w:tcPr>
            <w:tcW w:w="312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МИССИЯ</w:t>
            </w:r>
          </w:p>
        </w:tc>
        <w:tc>
          <w:tcPr>
            <w:tcW w:w="7088" w:type="dxa"/>
            <w:tcBorders>
              <w:top w:val="single" w:sz="8" w:space="0" w:color="5B9BD5"/>
              <w:left w:val="single" w:sz="8" w:space="0" w:color="002060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7770" w:rsidRPr="00087770" w:rsidRDefault="00087770" w:rsidP="008D573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Внедрение культуры энергосбережения и развитие информационных технологий посредством </w:t>
            </w:r>
            <w:proofErr w:type="spellStart"/>
            <w:r w:rsidRPr="0008777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цифровизации</w:t>
            </w:r>
            <w:proofErr w:type="spellEnd"/>
          </w:p>
        </w:tc>
      </w:tr>
    </w:tbl>
    <w:p w:rsidR="00CA3F26" w:rsidRPr="0011728B" w:rsidRDefault="00CA3F26" w:rsidP="00CB5A89">
      <w:pPr>
        <w:spacing w:line="276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</w:p>
    <w:p w:rsidR="008D573B" w:rsidRPr="008D573B" w:rsidRDefault="00FF40D6" w:rsidP="008D573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7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573B"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Основная цель сотрудничества:</w:t>
      </w:r>
    </w:p>
    <w:p w:rsidR="008D573B" w:rsidRPr="008D573B" w:rsidRDefault="008D573B" w:rsidP="008D573B">
      <w:pPr>
        <w:tabs>
          <w:tab w:val="left" w:pos="157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Объединить усилия и компетенции бизнеса и ВУЗа на базе Регионального «</w:t>
      </w:r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Smart</w:t>
      </w:r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-центра» для создания инновационной площадки, включающей в себя:</w:t>
      </w:r>
    </w:p>
    <w:p w:rsidR="00486816" w:rsidRPr="008D573B" w:rsidRDefault="008D573B" w:rsidP="008D573B">
      <w:pPr>
        <w:numPr>
          <w:ilvl w:val="0"/>
          <w:numId w:val="10"/>
        </w:numPr>
        <w:tabs>
          <w:tab w:val="left" w:pos="157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исследований, разработки и </w:t>
      </w:r>
      <w:proofErr w:type="spellStart"/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цифровизации</w:t>
      </w:r>
      <w:proofErr w:type="spellEnd"/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86816" w:rsidRPr="008D573B" w:rsidRDefault="008D573B" w:rsidP="008D573B">
      <w:pPr>
        <w:numPr>
          <w:ilvl w:val="0"/>
          <w:numId w:val="10"/>
        </w:numPr>
        <w:tabs>
          <w:tab w:val="left" w:pos="157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технопарк микроэлектроники и робототехники;</w:t>
      </w:r>
    </w:p>
    <w:p w:rsidR="00486816" w:rsidRPr="008D573B" w:rsidRDefault="008D573B" w:rsidP="008D573B">
      <w:pPr>
        <w:numPr>
          <w:ilvl w:val="0"/>
          <w:numId w:val="10"/>
        </w:numPr>
        <w:tabs>
          <w:tab w:val="left" w:pos="157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коворкинг</w:t>
      </w:r>
      <w:proofErr w:type="spellEnd"/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центр для резидентов и команд Регионального «</w:t>
      </w:r>
      <w:proofErr w:type="spellStart"/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Smart</w:t>
      </w:r>
      <w:proofErr w:type="spellEnd"/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-центра»,      </w:t>
      </w:r>
    </w:p>
    <w:p w:rsidR="008D573B" w:rsidRPr="008D573B" w:rsidRDefault="008D573B" w:rsidP="008D573B">
      <w:pPr>
        <w:tabs>
          <w:tab w:val="left" w:pos="157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объединяющих  молодых ученых и предпринимателей для получения технологических и инновационных продуктов и их дальнейшей коммерциализации в реальных секторах экономики.</w:t>
      </w:r>
    </w:p>
    <w:p w:rsidR="00FE4657" w:rsidRDefault="00FE4657" w:rsidP="0011728B">
      <w:pPr>
        <w:tabs>
          <w:tab w:val="left" w:pos="157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92AD0" w:rsidRDefault="00992AD0" w:rsidP="0011728B">
      <w:pPr>
        <w:tabs>
          <w:tab w:val="left" w:pos="157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AD0" w:rsidRPr="00992AD0" w:rsidRDefault="00992AD0" w:rsidP="0011728B">
      <w:pPr>
        <w:tabs>
          <w:tab w:val="left" w:pos="157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2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Руководитель регионального </w:t>
      </w:r>
      <w:r w:rsidRPr="00992A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Smart</w:t>
      </w:r>
      <w:r w:rsidRPr="00992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92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92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992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А.Нугманов</w:t>
      </w:r>
      <w:proofErr w:type="spellEnd"/>
    </w:p>
    <w:p w:rsidR="00992AD0" w:rsidRPr="00992AD0" w:rsidRDefault="00992AD0" w:rsidP="0011728B">
      <w:pPr>
        <w:tabs>
          <w:tab w:val="left" w:pos="157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92AD0" w:rsidRPr="00992AD0" w:rsidSect="001172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0C14"/>
    <w:multiLevelType w:val="hybridMultilevel"/>
    <w:tmpl w:val="35DE0BB8"/>
    <w:lvl w:ilvl="0" w:tplc="6B1CA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1006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A59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451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C08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E59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E5C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82B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6D1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628E2"/>
    <w:multiLevelType w:val="hybridMultilevel"/>
    <w:tmpl w:val="5F98D3DE"/>
    <w:lvl w:ilvl="0" w:tplc="6B1CA5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7A0094"/>
    <w:multiLevelType w:val="hybridMultilevel"/>
    <w:tmpl w:val="A296BEFA"/>
    <w:lvl w:ilvl="0" w:tplc="F7EEF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46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41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8E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89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6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21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A9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7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A0E87"/>
    <w:multiLevelType w:val="hybridMultilevel"/>
    <w:tmpl w:val="2C644196"/>
    <w:lvl w:ilvl="0" w:tplc="6306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81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AA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22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0B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0F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2F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C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6A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49141D"/>
    <w:multiLevelType w:val="hybridMultilevel"/>
    <w:tmpl w:val="A1F8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4516E"/>
    <w:multiLevelType w:val="hybridMultilevel"/>
    <w:tmpl w:val="604A57A6"/>
    <w:lvl w:ilvl="0" w:tplc="CCDEE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AB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6A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E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E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C9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24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0F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80B2BEF"/>
    <w:multiLevelType w:val="hybridMultilevel"/>
    <w:tmpl w:val="34203774"/>
    <w:lvl w:ilvl="0" w:tplc="CB343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61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69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03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82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3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6E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2B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AA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91F1DBD"/>
    <w:multiLevelType w:val="hybridMultilevel"/>
    <w:tmpl w:val="252C5A6C"/>
    <w:lvl w:ilvl="0" w:tplc="5DF01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88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A4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EC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02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49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E3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03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8C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6746FB"/>
    <w:multiLevelType w:val="hybridMultilevel"/>
    <w:tmpl w:val="B76634F0"/>
    <w:lvl w:ilvl="0" w:tplc="3EC0C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A88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C4F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0AF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6E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EF1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A00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8D0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929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AA4BC0"/>
    <w:multiLevelType w:val="hybridMultilevel"/>
    <w:tmpl w:val="B4A6D748"/>
    <w:lvl w:ilvl="0" w:tplc="9ABC8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C0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4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D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CD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E9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A7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84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E4D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85"/>
    <w:rsid w:val="00081BF4"/>
    <w:rsid w:val="0008438E"/>
    <w:rsid w:val="000849A1"/>
    <w:rsid w:val="00087770"/>
    <w:rsid w:val="000C3497"/>
    <w:rsid w:val="000D2298"/>
    <w:rsid w:val="000F32CA"/>
    <w:rsid w:val="000F3FAC"/>
    <w:rsid w:val="0011728B"/>
    <w:rsid w:val="001826A2"/>
    <w:rsid w:val="002B20A8"/>
    <w:rsid w:val="002B7C52"/>
    <w:rsid w:val="002F6868"/>
    <w:rsid w:val="00350857"/>
    <w:rsid w:val="00486816"/>
    <w:rsid w:val="0049044D"/>
    <w:rsid w:val="00605FC3"/>
    <w:rsid w:val="00693E17"/>
    <w:rsid w:val="006D4F2C"/>
    <w:rsid w:val="00763F4E"/>
    <w:rsid w:val="007670D7"/>
    <w:rsid w:val="007D0B1A"/>
    <w:rsid w:val="007D25A4"/>
    <w:rsid w:val="007F0520"/>
    <w:rsid w:val="0083081C"/>
    <w:rsid w:val="008342E0"/>
    <w:rsid w:val="008D573B"/>
    <w:rsid w:val="008E0485"/>
    <w:rsid w:val="008F2DFE"/>
    <w:rsid w:val="00992AD0"/>
    <w:rsid w:val="009A108D"/>
    <w:rsid w:val="00A67D8F"/>
    <w:rsid w:val="00AA2DE9"/>
    <w:rsid w:val="00AA3C17"/>
    <w:rsid w:val="00B62A39"/>
    <w:rsid w:val="00BB6F91"/>
    <w:rsid w:val="00BC76C8"/>
    <w:rsid w:val="00CA3F26"/>
    <w:rsid w:val="00CB5A89"/>
    <w:rsid w:val="00D454F1"/>
    <w:rsid w:val="00E82488"/>
    <w:rsid w:val="00F04BC3"/>
    <w:rsid w:val="00FA1476"/>
    <w:rsid w:val="00FD189A"/>
    <w:rsid w:val="00FE4657"/>
    <w:rsid w:val="00FF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8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8E0485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8E0485"/>
    <w:pPr>
      <w:spacing w:after="200" w:line="276" w:lineRule="auto"/>
      <w:ind w:left="720"/>
      <w:contextualSpacing/>
    </w:pPr>
    <w:rPr>
      <w:rFonts w:eastAsiaTheme="minorHAnsi"/>
    </w:rPr>
  </w:style>
  <w:style w:type="paragraph" w:styleId="a5">
    <w:name w:val="Normal (Web)"/>
    <w:basedOn w:val="a"/>
    <w:uiPriority w:val="99"/>
    <w:semiHidden/>
    <w:unhideWhenUsed/>
    <w:rsid w:val="008D5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992AD0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992AD0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992AD0"/>
  </w:style>
  <w:style w:type="paragraph" w:styleId="a8">
    <w:name w:val="Balloon Text"/>
    <w:basedOn w:val="a"/>
    <w:link w:val="a9"/>
    <w:uiPriority w:val="99"/>
    <w:semiHidden/>
    <w:unhideWhenUsed/>
    <w:rsid w:val="00992A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A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8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8E0485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8E0485"/>
    <w:pPr>
      <w:spacing w:after="200" w:line="276" w:lineRule="auto"/>
      <w:ind w:left="720"/>
      <w:contextualSpacing/>
    </w:pPr>
    <w:rPr>
      <w:rFonts w:eastAsiaTheme="minorHAnsi"/>
    </w:rPr>
  </w:style>
  <w:style w:type="paragraph" w:styleId="a5">
    <w:name w:val="Normal (Web)"/>
    <w:basedOn w:val="a"/>
    <w:uiPriority w:val="99"/>
    <w:semiHidden/>
    <w:unhideWhenUsed/>
    <w:rsid w:val="008D5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992AD0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992AD0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992AD0"/>
  </w:style>
  <w:style w:type="paragraph" w:styleId="a8">
    <w:name w:val="Balloon Text"/>
    <w:basedOn w:val="a"/>
    <w:link w:val="a9"/>
    <w:uiPriority w:val="99"/>
    <w:semiHidden/>
    <w:unhideWhenUsed/>
    <w:rsid w:val="00992A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kgu</cp:lastModifiedBy>
  <cp:revision>50</cp:revision>
  <cp:lastPrinted>2019-10-09T08:15:00Z</cp:lastPrinted>
  <dcterms:created xsi:type="dcterms:W3CDTF">2019-10-08T13:45:00Z</dcterms:created>
  <dcterms:modified xsi:type="dcterms:W3CDTF">2019-10-09T08:16:00Z</dcterms:modified>
</cp:coreProperties>
</file>