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6F" w:rsidRPr="0091756F" w:rsidRDefault="0091756F" w:rsidP="0091756F">
      <w:pPr>
        <w:pStyle w:val="a9"/>
        <w:tabs>
          <w:tab w:val="left" w:pos="237"/>
        </w:tabs>
        <w:ind w:left="0" w:firstLine="425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91756F">
        <w:rPr>
          <w:rFonts w:ascii="Times New Roman" w:hAnsi="Times New Roman"/>
          <w:b/>
          <w:sz w:val="28"/>
          <w:szCs w:val="28"/>
          <w:lang w:val="kk-KZ"/>
        </w:rPr>
        <w:t>СОДОКЛАД</w:t>
      </w:r>
    </w:p>
    <w:tbl>
      <w:tblPr>
        <w:tblpPr w:leftFromText="180" w:rightFromText="180" w:vertAnchor="page" w:horzAnchor="margin" w:tblpY="1786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bookmarkStart w:id="0" w:name="_GoBack" w:colFirst="0" w:colLast="1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«</w:t>
            </w: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А.Байтұрсыноватындағы</w:t>
            </w:r>
            <w:proofErr w:type="spellEnd"/>
          </w:p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Қостанаймемлекеттік</w:t>
            </w:r>
            <w:proofErr w:type="spellEnd"/>
          </w:p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университеті</w:t>
            </w:r>
            <w:proofErr w:type="spellEnd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 xml:space="preserve">» </w:t>
            </w: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РМК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РГП</w:t>
            </w:r>
            <w:proofErr w:type="spellEnd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 xml:space="preserve"> «</w:t>
            </w:r>
            <w:proofErr w:type="spellStart"/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Костанайский</w:t>
            </w:r>
            <w:proofErr w:type="spellEnd"/>
          </w:p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  <w:r w:rsidRPr="0091756F"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6"/>
              <w:ind w:firstLine="0"/>
              <w:jc w:val="center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756F"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756F">
              <w:rPr>
                <w:rStyle w:val="s1"/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</w:tc>
      </w:tr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91756F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 w:rsidRPr="0091756F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</w:tc>
      </w:tr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175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75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2020</w:t>
            </w:r>
            <w:r w:rsidRPr="00917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56F">
              <w:rPr>
                <w:rFonts w:ascii="Times New Roman" w:hAnsi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1756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1. 2020</w:t>
            </w:r>
            <w:r w:rsidRPr="0091756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91756F" w:rsidRPr="0091756F" w:rsidTr="0091756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6F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6F" w:rsidRPr="0091756F" w:rsidRDefault="0091756F" w:rsidP="008A0D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56F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  <w:bookmarkEnd w:id="0"/>
    </w:tbl>
    <w:p w:rsidR="0091756F" w:rsidRPr="0091756F" w:rsidRDefault="0091756F" w:rsidP="00AE5C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CF9" w:rsidRPr="0091756F" w:rsidRDefault="00AE5CF9" w:rsidP="0091756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Дарынды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студенттерді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қолдау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және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ынталандыру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756F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 xml:space="preserve">механизмін дамытү </w:t>
      </w:r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бойынша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тәрбие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жұмыстары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1756F">
        <w:rPr>
          <w:rFonts w:ascii="Times New Roman" w:hAnsi="Times New Roman" w:cs="Times New Roman"/>
          <w:b/>
          <w:i/>
          <w:sz w:val="28"/>
          <w:szCs w:val="28"/>
        </w:rPr>
        <w:t>туралы</w:t>
      </w:r>
      <w:proofErr w:type="spellEnd"/>
      <w:r w:rsidRPr="009175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</w:t>
      </w:r>
      <w:r w:rsidRPr="0091756F">
        <w:rPr>
          <w:rFonts w:ascii="Times New Roman" w:hAnsi="Times New Roman" w:cs="Times New Roman"/>
          <w:b/>
          <w:i/>
          <w:sz w:val="28"/>
          <w:szCs w:val="28"/>
        </w:rPr>
        <w:t>оклад</w:t>
      </w:r>
    </w:p>
    <w:p w:rsidR="004147A2" w:rsidRDefault="00AD7976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 Байтурсынов атындағы Қостанай мемлекеттік университетінде </w:t>
      </w:r>
      <w:r w:rsidR="004147A2">
        <w:rPr>
          <w:rFonts w:ascii="Times New Roman" w:hAnsi="Times New Roman" w:cs="Times New Roman"/>
          <w:sz w:val="28"/>
          <w:szCs w:val="28"/>
          <w:lang w:val="kk-KZ"/>
        </w:rPr>
        <w:t>білім бағытында дарынды студенттерді ынтымаландыру бойынша алдыңғы баяндамада тоқтап отті.</w:t>
      </w:r>
    </w:p>
    <w:p w:rsidR="000219AE" w:rsidRDefault="004147A2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студенттерімен қатар Шағармашылық дарынды студенттеріміз бар, соларға тоқталатын болсақ </w:t>
      </w:r>
      <w:r w:rsidR="007701C2">
        <w:rPr>
          <w:rFonts w:ascii="Times New Roman" w:hAnsi="Times New Roman" w:cs="Times New Roman"/>
          <w:sz w:val="28"/>
          <w:szCs w:val="28"/>
          <w:lang w:val="kk-KZ"/>
        </w:rPr>
        <w:t>университет қабырғасында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белсенд</w:t>
      </w:r>
      <w:r w:rsidR="007701C2">
        <w:rPr>
          <w:rFonts w:ascii="Times New Roman" w:hAnsi="Times New Roman" w:cs="Times New Roman"/>
          <w:sz w:val="28"/>
          <w:szCs w:val="28"/>
          <w:lang w:val="kk-KZ"/>
        </w:rPr>
        <w:t xml:space="preserve">і ғана емес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облыстық, 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республикалық</w:t>
      </w:r>
      <w:r w:rsidR="007701C2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және халықаралық деңгейлерде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</w:t>
      </w:r>
      <w:r w:rsidR="007701C2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университетіміздің абыройын асқақтатып, насихаттап жүрген стедентеріміз де бір шама.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9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19AE" w:rsidRDefault="000219AE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8A0DA9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00081" w:rsidRPr="008A0DA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E3B1D" w:rsidRPr="0091756F">
        <w:rPr>
          <w:rFonts w:ascii="Times New Roman" w:hAnsi="Times New Roman" w:cs="Times New Roman"/>
          <w:b/>
          <w:sz w:val="28"/>
          <w:szCs w:val="28"/>
          <w:lang w:val="kk-KZ"/>
        </w:rPr>
        <w:t>Өнер Студия</w:t>
      </w:r>
      <w:r w:rsidR="00000081" w:rsidRPr="008A0DA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E3B1D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-  Жыл соңында Өнер студиясының түлектері үшін арналған Концерт, Бенефис ұйымдастырылады. </w:t>
      </w:r>
      <w:r w:rsidR="008E3B1D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О</w:t>
      </w:r>
      <w:r w:rsidRPr="008A0DA9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қу жылдарында университеттің мәдени өміріне үлкен үлес қосқан және осы әлеуметтік кәсіпті дамытуда белгілі бір нәтижелерге қол жеткізген «Өнер» студиясының түлектеріне </w:t>
      </w:r>
      <w:r w:rsidR="008E3B1D" w:rsidRPr="008A0DA9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«Қоғамдық кәсіп» сертификаты</w:t>
      </w:r>
      <w:r w:rsidR="008E3B1D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</w:t>
      </w:r>
      <w:r w:rsidR="008E3B1D" w:rsidRPr="008A0DA9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берілед</w:t>
      </w:r>
      <w:r w:rsidR="008E3B1D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і.</w:t>
      </w: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«ТОП-10»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жүлдесін студенттік өзін-өзі басқаруды дамыту және А.Байтұрсынов атындағы ҚМУ студенттік имиджін қалыптастыруда жастар бастамаларын іске асыруға белсенді қатысқ</w:t>
      </w:r>
      <w:r w:rsidR="0070516A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ан 3-5 курс студенттеріне беріледі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. ТОП-10 жүлдесі студенттік өмірдің </w:t>
      </w:r>
      <w:r w:rsidR="0070516A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өнер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салаларында белгілі бір жетістіктерге жеткен, университеттің беделін және жалпы білім беру саясатын қалыптастыратын белсенді университеттің белсенді студенттерін көпшілік алдында тану мақсатында құрылады.</w:t>
      </w:r>
    </w:p>
    <w:p w:rsidR="00AE5CF9" w:rsidRPr="0091756F" w:rsidRDefault="00521084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Өткен 2019 жыл комиссия мұшелерімен қосымша номинациялар бекітіліп, тағы бір топ студенттерді атап сыйлықтарына ие болды ол:  </w:t>
      </w: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3.</w:t>
      </w:r>
      <w:r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081" w:rsidRPr="009175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Жыл көшбасшысы</w:t>
      </w:r>
      <w:r w:rsidR="00000081"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»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- студенттік өзін-өзі басқаруды дамыту және </w:t>
      </w:r>
      <w:r w:rsidR="00521084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студенті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ң имиджін қалыптастырудағы жастар бастамаларын іске асыруға белсенді қатысқан 3-5 курс студенттері.</w:t>
      </w: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4.</w:t>
      </w:r>
      <w:r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081" w:rsidRPr="009175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Жыл белсендісі</w:t>
      </w:r>
      <w:r w:rsidR="00000081"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»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- студенттік өзін-өзі басқаруды дамыту және А.Байтұрсынов атындағы ҚМУ студентінің имиджін қалыптастыруда жастар 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lastRenderedPageBreak/>
        <w:t>бастамаларын іске асыруға белсенді қатысқан үшін 2 курстан жоғары  студенттер марапаттал</w:t>
      </w:r>
      <w:r w:rsidR="00EF6119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ады</w:t>
      </w:r>
    </w:p>
    <w:p w:rsidR="00EF6119" w:rsidRPr="0091756F" w:rsidRDefault="00EF611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</w:p>
    <w:p w:rsidR="00EF6119" w:rsidRPr="0091756F" w:rsidRDefault="00EF611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5. </w:t>
      </w:r>
      <w:r w:rsidR="00000081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«</w:t>
      </w:r>
      <w:r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Жыл Жаңалығы</w:t>
      </w:r>
      <w:r w:rsidR="00000081"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»</w:t>
      </w: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- студенттік өзін-өзі басқаруды дамыту және А.Байтұрсынов атындағы ҚМУ студентінің имиджін қалыптастыруда жастар бастамаларын іске асыруға белсенді қатысқан үшін 1 курс студенттері марапатталады</w:t>
      </w:r>
    </w:p>
    <w:p w:rsidR="00AE5CF9" w:rsidRPr="0091756F" w:rsidRDefault="00AE5CF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</w:p>
    <w:p w:rsidR="00AE5CF9" w:rsidRPr="0091756F" w:rsidRDefault="00000081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6</w:t>
      </w:r>
      <w:r w:rsidR="00AE5CF9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.</w:t>
      </w:r>
      <w:r w:rsidR="00917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5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5CF9"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Университеттің спортшыларына арналған дипломдар</w:t>
      </w:r>
      <w:r w:rsidRPr="0091756F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k-KZ"/>
        </w:rPr>
        <w:t>»</w:t>
      </w:r>
      <w:r w:rsidR="00AE5CF9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 xml:space="preserve"> республикалық және халықаралық деңгейлердегі жарыстарға қатысатын, біздің университеттің абыройын қорғап, насихаттайтын спортшыларға беріледі.</w:t>
      </w:r>
    </w:p>
    <w:p w:rsidR="00EF6119" w:rsidRPr="0091756F" w:rsidRDefault="00EF611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</w:pPr>
    </w:p>
    <w:p w:rsidR="00AE5CF9" w:rsidRPr="0091756F" w:rsidRDefault="00000081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7</w:t>
      </w:r>
      <w:r w:rsidR="00AE5CF9" w:rsidRPr="0091756F">
        <w:rPr>
          <w:rFonts w:ascii="Times New Roman" w:hAnsi="Times New Roman" w:cs="Times New Roman"/>
          <w:sz w:val="28"/>
          <w:szCs w:val="28"/>
          <w:shd w:val="clear" w:color="auto" w:fill="F8F9FA"/>
          <w:lang w:val="kk-KZ"/>
        </w:rPr>
        <w:t>.</w:t>
      </w:r>
      <w:r w:rsidR="00AE5CF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5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5CF9" w:rsidRPr="0091756F">
        <w:rPr>
          <w:rFonts w:ascii="Times New Roman" w:hAnsi="Times New Roman" w:cs="Times New Roman"/>
          <w:b/>
          <w:sz w:val="28"/>
          <w:szCs w:val="28"/>
          <w:lang w:val="kk-KZ"/>
        </w:rPr>
        <w:t>Тұңғыш Президент мұражайы</w:t>
      </w:r>
      <w:r w:rsidRPr="0091756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E5CF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EF611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жыл сайын біздің </w:t>
      </w:r>
      <w:r w:rsidR="00AE5CF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11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ең белсенді </w:t>
      </w:r>
      <w:r w:rsidR="00AE5CF9" w:rsidRPr="0091756F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="00EF611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іміз және </w:t>
      </w:r>
      <w:r w:rsidR="00AE5CF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(жетімдер, аз қамтылған отбасылар, көп балалы отбасылар) ТПМ музейіне барады, мұражайға экскурсия жасалады, студенттерге арналған тренингттер мен семинарлар өткізіледі.</w:t>
      </w:r>
      <w:r w:rsidR="00EF6119" w:rsidRPr="0091756F">
        <w:rPr>
          <w:rFonts w:ascii="Times New Roman" w:hAnsi="Times New Roman" w:cs="Times New Roman"/>
          <w:sz w:val="28"/>
          <w:szCs w:val="28"/>
          <w:lang w:val="kk-KZ"/>
        </w:rPr>
        <w:t xml:space="preserve"> Бұл да бір дарынды студенттер үшін ынтымаландыру болып келеді.</w:t>
      </w:r>
    </w:p>
    <w:p w:rsidR="00EF6119" w:rsidRPr="0091756F" w:rsidRDefault="00EF6119" w:rsidP="0091756F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5CF9" w:rsidRDefault="00AE5CF9" w:rsidP="00AE5C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56F" w:rsidRPr="0091756F" w:rsidRDefault="0091756F" w:rsidP="00AE5C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ЖІК меңгерушісі                                                              О. Алиев</w:t>
      </w:r>
    </w:p>
    <w:sectPr w:rsidR="0091756F" w:rsidRPr="0091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7"/>
    <w:rsid w:val="00000081"/>
    <w:rsid w:val="0001419E"/>
    <w:rsid w:val="000219AE"/>
    <w:rsid w:val="002F1C67"/>
    <w:rsid w:val="00301FA1"/>
    <w:rsid w:val="004147A2"/>
    <w:rsid w:val="00521084"/>
    <w:rsid w:val="00564BC7"/>
    <w:rsid w:val="0070516A"/>
    <w:rsid w:val="007701C2"/>
    <w:rsid w:val="00823785"/>
    <w:rsid w:val="00854800"/>
    <w:rsid w:val="00863DAD"/>
    <w:rsid w:val="008A0DA9"/>
    <w:rsid w:val="008E3B1D"/>
    <w:rsid w:val="0091756F"/>
    <w:rsid w:val="00977A6A"/>
    <w:rsid w:val="00AD7976"/>
    <w:rsid w:val="00AE5CF9"/>
    <w:rsid w:val="00C85FB0"/>
    <w:rsid w:val="00E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5CF9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91756F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1756F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s1">
    <w:name w:val="s1"/>
    <w:rsid w:val="0091756F"/>
  </w:style>
  <w:style w:type="character" w:customStyle="1" w:styleId="a8">
    <w:name w:val="Абзац списка Знак"/>
    <w:link w:val="a9"/>
    <w:uiPriority w:val="34"/>
    <w:locked/>
    <w:rsid w:val="0091756F"/>
    <w:rPr>
      <w:rFonts w:ascii="Calibri" w:eastAsia="Calibri" w:hAnsi="Calibri"/>
      <w:sz w:val="24"/>
      <w:szCs w:val="24"/>
      <w:lang w:val="x-none"/>
    </w:rPr>
  </w:style>
  <w:style w:type="paragraph" w:styleId="a9">
    <w:name w:val="List Paragraph"/>
    <w:basedOn w:val="a"/>
    <w:link w:val="a8"/>
    <w:uiPriority w:val="34"/>
    <w:qFormat/>
    <w:rsid w:val="0091756F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5CF9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91756F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1756F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s1">
    <w:name w:val="s1"/>
    <w:rsid w:val="0091756F"/>
  </w:style>
  <w:style w:type="character" w:customStyle="1" w:styleId="a8">
    <w:name w:val="Абзац списка Знак"/>
    <w:link w:val="a9"/>
    <w:uiPriority w:val="34"/>
    <w:locked/>
    <w:rsid w:val="0091756F"/>
    <w:rPr>
      <w:rFonts w:ascii="Calibri" w:eastAsia="Calibri" w:hAnsi="Calibri"/>
      <w:sz w:val="24"/>
      <w:szCs w:val="24"/>
      <w:lang w:val="x-none"/>
    </w:rPr>
  </w:style>
  <w:style w:type="paragraph" w:styleId="a9">
    <w:name w:val="List Paragraph"/>
    <w:basedOn w:val="a"/>
    <w:link w:val="a8"/>
    <w:uiPriority w:val="34"/>
    <w:qFormat/>
    <w:rsid w:val="0091756F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ВСС</dc:creator>
  <cp:keywords/>
  <dc:description/>
  <cp:lastModifiedBy>kgu</cp:lastModifiedBy>
  <cp:revision>3</cp:revision>
  <cp:lastPrinted>2020-01-09T09:54:00Z</cp:lastPrinted>
  <dcterms:created xsi:type="dcterms:W3CDTF">2020-01-08T05:07:00Z</dcterms:created>
  <dcterms:modified xsi:type="dcterms:W3CDTF">2020-01-10T05:04:00Z</dcterms:modified>
</cp:coreProperties>
</file>