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7505E6" w:rsidRDefault="007505E6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ректорат</w:t>
            </w:r>
            <w:r w:rsidR="007505E6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 w:rsidP="00CC1ADF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CC1ADF">
              <w:rPr>
                <w:rStyle w:val="s1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 w:rsidP="003E388E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3E388E">
              <w:rPr>
                <w:color w:val="000000"/>
                <w:sz w:val="28"/>
                <w:szCs w:val="28"/>
              </w:rPr>
              <w:t>10</w:t>
            </w:r>
            <w:r w:rsidR="007505E6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CC1ADF" w:rsidP="003E388E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10.</w:t>
            </w:r>
            <w:r w:rsidR="003E388E">
              <w:rPr>
                <w:color w:val="000000"/>
                <w:sz w:val="28"/>
                <w:szCs w:val="28"/>
                <w:lang w:val="kk-KZ"/>
              </w:rPr>
              <w:t>10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.201</w:t>
            </w:r>
            <w:r>
              <w:rPr>
                <w:color w:val="000000"/>
                <w:sz w:val="28"/>
                <w:szCs w:val="28"/>
                <w:lang w:val="kk-KZ"/>
              </w:rPr>
              <w:t>8</w:t>
            </w:r>
            <w:r w:rsidR="007505E6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E6" w:rsidRDefault="007505E6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7505E6" w:rsidTr="007505E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E6" w:rsidRDefault="007505E6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286" w:rsidRDefault="00475286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C1ADF" w:rsidRPr="00EE1E37" w:rsidRDefault="003E388E" w:rsidP="007505E6">
      <w:pPr>
        <w:keepNext/>
        <w:jc w:val="center"/>
        <w:rPr>
          <w:b/>
          <w:sz w:val="28"/>
          <w:szCs w:val="28"/>
        </w:rPr>
      </w:pPr>
      <w:r w:rsidRPr="00EE1E37">
        <w:rPr>
          <w:b/>
          <w:sz w:val="28"/>
          <w:szCs w:val="28"/>
        </w:rPr>
        <w:t>Об итогах</w:t>
      </w:r>
      <w:r w:rsidR="00CC1ADF" w:rsidRPr="00EE1E37">
        <w:rPr>
          <w:b/>
          <w:sz w:val="28"/>
          <w:szCs w:val="28"/>
        </w:rPr>
        <w:t xml:space="preserve"> рейтинга </w:t>
      </w:r>
      <w:r w:rsidRPr="00EE1E37">
        <w:rPr>
          <w:b/>
          <w:sz w:val="28"/>
          <w:szCs w:val="28"/>
        </w:rPr>
        <w:t xml:space="preserve">ППС, </w:t>
      </w:r>
      <w:r w:rsidR="00CC1ADF" w:rsidRPr="00EE1E37">
        <w:rPr>
          <w:b/>
          <w:sz w:val="28"/>
          <w:szCs w:val="28"/>
        </w:rPr>
        <w:t>кафедр</w:t>
      </w:r>
      <w:r w:rsidRPr="00EE1E37">
        <w:rPr>
          <w:b/>
          <w:sz w:val="28"/>
          <w:szCs w:val="28"/>
        </w:rPr>
        <w:t xml:space="preserve"> и факультетов</w:t>
      </w:r>
      <w:r w:rsidR="00CC1ADF" w:rsidRPr="00EE1E37">
        <w:rPr>
          <w:b/>
          <w:sz w:val="28"/>
          <w:szCs w:val="28"/>
        </w:rPr>
        <w:t xml:space="preserve"> </w:t>
      </w:r>
      <w:r w:rsidRPr="00EE1E37">
        <w:rPr>
          <w:b/>
          <w:sz w:val="28"/>
          <w:szCs w:val="28"/>
        </w:rPr>
        <w:t xml:space="preserve">за 2017-2018 </w:t>
      </w:r>
      <w:proofErr w:type="spellStart"/>
      <w:r w:rsidRPr="00EE1E37">
        <w:rPr>
          <w:b/>
          <w:sz w:val="28"/>
          <w:szCs w:val="28"/>
        </w:rPr>
        <w:t>уч</w:t>
      </w:r>
      <w:proofErr w:type="gramStart"/>
      <w:r w:rsidRPr="00EE1E37">
        <w:rPr>
          <w:b/>
          <w:sz w:val="28"/>
          <w:szCs w:val="28"/>
        </w:rPr>
        <w:t>.г</w:t>
      </w:r>
      <w:proofErr w:type="gramEnd"/>
      <w:r w:rsidRPr="00EE1E37">
        <w:rPr>
          <w:b/>
          <w:sz w:val="28"/>
          <w:szCs w:val="28"/>
        </w:rPr>
        <w:t>од</w:t>
      </w:r>
      <w:proofErr w:type="spellEnd"/>
    </w:p>
    <w:p w:rsidR="007505E6" w:rsidRPr="00EE1E37" w:rsidRDefault="00CC1ADF" w:rsidP="007505E6">
      <w:pPr>
        <w:keepNext/>
        <w:jc w:val="center"/>
        <w:rPr>
          <w:b/>
          <w:sz w:val="28"/>
          <w:szCs w:val="28"/>
        </w:rPr>
      </w:pPr>
      <w:r w:rsidRPr="00EE1E37">
        <w:rPr>
          <w:b/>
          <w:sz w:val="28"/>
          <w:szCs w:val="28"/>
        </w:rPr>
        <w:t xml:space="preserve">и </w:t>
      </w:r>
      <w:proofErr w:type="gramStart"/>
      <w:r w:rsidR="003E388E" w:rsidRPr="00EE1E37">
        <w:rPr>
          <w:b/>
          <w:sz w:val="28"/>
          <w:szCs w:val="28"/>
        </w:rPr>
        <w:t>задачах</w:t>
      </w:r>
      <w:proofErr w:type="gramEnd"/>
      <w:r w:rsidR="003E388E" w:rsidRPr="00EE1E37">
        <w:rPr>
          <w:b/>
          <w:sz w:val="28"/>
          <w:szCs w:val="28"/>
        </w:rPr>
        <w:t xml:space="preserve"> на текущий учебный год</w:t>
      </w:r>
    </w:p>
    <w:p w:rsidR="003E388E" w:rsidRDefault="003E388E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61A56" w:rsidRPr="00EE1E37" w:rsidRDefault="00522FBF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EE1E37">
        <w:rPr>
          <w:sz w:val="24"/>
          <w:szCs w:val="24"/>
        </w:rPr>
        <w:t xml:space="preserve">Традиционно вопросы рейтинга рассматриваются на заседаниях коллегиальных органов университета. </w:t>
      </w:r>
      <w:r w:rsidR="003E388E" w:rsidRPr="00EE1E37">
        <w:rPr>
          <w:sz w:val="24"/>
          <w:szCs w:val="24"/>
        </w:rPr>
        <w:t xml:space="preserve">Рейтинг ППС, кафедр и факультетов проводится </w:t>
      </w:r>
      <w:r w:rsidR="005F0D2A" w:rsidRPr="00EE1E37">
        <w:rPr>
          <w:sz w:val="24"/>
          <w:szCs w:val="24"/>
        </w:rPr>
        <w:t>на основании</w:t>
      </w:r>
      <w:r w:rsidR="003E388E" w:rsidRPr="00EE1E37">
        <w:rPr>
          <w:sz w:val="24"/>
          <w:szCs w:val="24"/>
        </w:rPr>
        <w:t xml:space="preserve"> Положения </w:t>
      </w:r>
      <w:r w:rsidR="005F0D2A" w:rsidRPr="00EE1E37">
        <w:rPr>
          <w:sz w:val="24"/>
          <w:szCs w:val="24"/>
        </w:rPr>
        <w:t>«</w:t>
      </w:r>
      <w:r w:rsidR="003E388E" w:rsidRPr="00EE1E37">
        <w:rPr>
          <w:sz w:val="24"/>
          <w:szCs w:val="24"/>
        </w:rPr>
        <w:t>Планирование деятельности профессорско-преподавательского состава и рейтинг преподавателей, кафедр и факультетов</w:t>
      </w:r>
      <w:r w:rsidR="005F0D2A" w:rsidRPr="00EE1E37">
        <w:rPr>
          <w:sz w:val="24"/>
          <w:szCs w:val="24"/>
        </w:rPr>
        <w:t>»</w:t>
      </w:r>
      <w:r w:rsidR="003E388E" w:rsidRPr="00EE1E37">
        <w:rPr>
          <w:sz w:val="24"/>
          <w:szCs w:val="24"/>
        </w:rPr>
        <w:t>. Напомню, что в течение прошлого учебного года в положения трижды вносились изменения и дополнения. 5 сентября прошло заседание рейтинговой комиссии университета</w:t>
      </w:r>
      <w:r w:rsidR="00561A56" w:rsidRPr="00EE1E37">
        <w:rPr>
          <w:sz w:val="24"/>
          <w:szCs w:val="24"/>
        </w:rPr>
        <w:t xml:space="preserve"> по подведению итогов рейтинга</w:t>
      </w:r>
      <w:r w:rsidR="003E388E" w:rsidRPr="00EE1E37">
        <w:rPr>
          <w:sz w:val="24"/>
          <w:szCs w:val="24"/>
        </w:rPr>
        <w:t xml:space="preserve">. </w:t>
      </w:r>
      <w:r w:rsidR="00EE1E37" w:rsidRPr="00EE1E37">
        <w:rPr>
          <w:sz w:val="24"/>
          <w:szCs w:val="24"/>
        </w:rPr>
        <w:t>И</w:t>
      </w:r>
      <w:r w:rsidR="00561A56" w:rsidRPr="00EE1E37">
        <w:rPr>
          <w:sz w:val="24"/>
          <w:szCs w:val="24"/>
        </w:rPr>
        <w:t xml:space="preserve">тоги были размещены </w:t>
      </w:r>
      <w:r w:rsidR="00075048" w:rsidRPr="00EE1E37">
        <w:rPr>
          <w:sz w:val="24"/>
          <w:szCs w:val="24"/>
        </w:rPr>
        <w:t>на портале в разделе Рейтинговая оценка деятельности ППС, кафедр и факультетов</w:t>
      </w:r>
    </w:p>
    <w:p w:rsidR="007505E6" w:rsidRPr="00EE1E37" w:rsidRDefault="003E388E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EE1E37">
        <w:rPr>
          <w:sz w:val="24"/>
          <w:szCs w:val="24"/>
        </w:rPr>
        <w:t>Итоги рейтинга ППС.</w:t>
      </w:r>
      <w:r w:rsidR="00561A56" w:rsidRPr="00EE1E37">
        <w:rPr>
          <w:sz w:val="24"/>
          <w:szCs w:val="24"/>
        </w:rPr>
        <w:t xml:space="preserve"> В рейтинге приняло участие 350 штатных преподавателей. Свыше 5 тысяч ключевых баллов набрало 6 человек, от 3 до 5 тысяч – 28 человек, от 2 до 3 тысяч – 32 человека, от 1 до 2 тысяч- 114, менее 1 тысячи ключевых баллов набрало 169 человек. </w:t>
      </w:r>
      <w:r w:rsidR="00075048" w:rsidRPr="00EE1E37">
        <w:rPr>
          <w:sz w:val="24"/>
          <w:szCs w:val="24"/>
        </w:rPr>
        <w:t xml:space="preserve">Количество не участвующих в рейтинге преподавателей – 26 человек. </w:t>
      </w:r>
      <w:r w:rsidR="00561A56" w:rsidRPr="00EE1E37">
        <w:rPr>
          <w:sz w:val="24"/>
          <w:szCs w:val="24"/>
        </w:rPr>
        <w:t xml:space="preserve">Итоги рейтинга ППС, кафедр и факультетов </w:t>
      </w:r>
      <w:r w:rsidR="00075048" w:rsidRPr="00EE1E37">
        <w:rPr>
          <w:sz w:val="24"/>
          <w:szCs w:val="24"/>
        </w:rPr>
        <w:t xml:space="preserve">уже </w:t>
      </w:r>
      <w:r w:rsidR="00561A56" w:rsidRPr="00EE1E37">
        <w:rPr>
          <w:sz w:val="24"/>
          <w:szCs w:val="24"/>
        </w:rPr>
        <w:t>были озвучены в отчете ректора на расширенном заседании Ученого совета</w:t>
      </w:r>
      <w:r w:rsidR="00075048" w:rsidRPr="00EE1E37">
        <w:rPr>
          <w:sz w:val="24"/>
          <w:szCs w:val="24"/>
        </w:rPr>
        <w:t xml:space="preserve">. </w:t>
      </w:r>
      <w:r w:rsidR="008F7985" w:rsidRPr="00EE1E37">
        <w:rPr>
          <w:sz w:val="24"/>
          <w:szCs w:val="24"/>
        </w:rPr>
        <w:t>Нет сомнения, что</w:t>
      </w:r>
      <w:r w:rsidR="00075048" w:rsidRPr="00EE1E37">
        <w:rPr>
          <w:sz w:val="24"/>
          <w:szCs w:val="24"/>
        </w:rPr>
        <w:t xml:space="preserve"> они </w:t>
      </w:r>
      <w:r w:rsidR="008F7985" w:rsidRPr="00EE1E37">
        <w:rPr>
          <w:sz w:val="24"/>
          <w:szCs w:val="24"/>
        </w:rPr>
        <w:t xml:space="preserve">также </w:t>
      </w:r>
      <w:r w:rsidR="00075048" w:rsidRPr="00EE1E37">
        <w:rPr>
          <w:sz w:val="24"/>
          <w:szCs w:val="24"/>
        </w:rPr>
        <w:t>были обсуждены на заседаниях деканатов, кафедр.</w:t>
      </w:r>
    </w:p>
    <w:p w:rsidR="00561A56" w:rsidRDefault="00075048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EE1E37">
        <w:rPr>
          <w:sz w:val="24"/>
          <w:szCs w:val="24"/>
        </w:rPr>
        <w:t>Стоит отметить, р</w:t>
      </w:r>
      <w:r w:rsidR="00561A56" w:rsidRPr="00EE1E37">
        <w:rPr>
          <w:sz w:val="24"/>
          <w:szCs w:val="24"/>
        </w:rPr>
        <w:t xml:space="preserve">ейтинг ППС подводится по трем </w:t>
      </w:r>
      <w:r w:rsidRPr="00EE1E37">
        <w:rPr>
          <w:sz w:val="24"/>
          <w:szCs w:val="24"/>
        </w:rPr>
        <w:t xml:space="preserve">направлениям деятельности ППС учебно-методическая, научная и воспитательная работа. Если </w:t>
      </w:r>
      <w:r w:rsidR="005F0D2A" w:rsidRPr="00EE1E37">
        <w:rPr>
          <w:sz w:val="24"/>
          <w:szCs w:val="24"/>
        </w:rPr>
        <w:t>сравнить</w:t>
      </w:r>
      <w:r w:rsidRPr="00EE1E37">
        <w:rPr>
          <w:sz w:val="24"/>
          <w:szCs w:val="24"/>
        </w:rPr>
        <w:t xml:space="preserve"> </w:t>
      </w:r>
      <w:r w:rsidR="005F0D2A" w:rsidRPr="00EE1E37">
        <w:rPr>
          <w:sz w:val="24"/>
          <w:szCs w:val="24"/>
        </w:rPr>
        <w:t xml:space="preserve">сумму баллов за </w:t>
      </w:r>
      <w:r w:rsidRPr="00EE1E37">
        <w:rPr>
          <w:sz w:val="24"/>
          <w:szCs w:val="24"/>
        </w:rPr>
        <w:t>критерии рейтинга ППС по этим направлениям деятельности</w:t>
      </w:r>
      <w:r w:rsidR="005F0D2A" w:rsidRPr="00EE1E37">
        <w:rPr>
          <w:sz w:val="24"/>
          <w:szCs w:val="24"/>
        </w:rPr>
        <w:t>,</w:t>
      </w:r>
      <w:r w:rsidRPr="00EE1E37">
        <w:rPr>
          <w:sz w:val="24"/>
          <w:szCs w:val="24"/>
        </w:rPr>
        <w:t xml:space="preserve"> то </w:t>
      </w:r>
      <w:r w:rsidR="00EE1E37" w:rsidRPr="00EE1E37">
        <w:rPr>
          <w:sz w:val="24"/>
          <w:szCs w:val="24"/>
        </w:rPr>
        <w:t>получится</w:t>
      </w:r>
      <w:r w:rsidRPr="00EE1E37">
        <w:rPr>
          <w:sz w:val="24"/>
          <w:szCs w:val="24"/>
        </w:rPr>
        <w:t xml:space="preserve"> следующ</w:t>
      </w:r>
      <w:r w:rsidR="005F0D2A" w:rsidRPr="00EE1E37">
        <w:rPr>
          <w:sz w:val="24"/>
          <w:szCs w:val="24"/>
        </w:rPr>
        <w:t>е</w:t>
      </w:r>
      <w:r w:rsidRPr="00EE1E37">
        <w:rPr>
          <w:sz w:val="24"/>
          <w:szCs w:val="24"/>
        </w:rPr>
        <w:t>е соотношени</w:t>
      </w:r>
      <w:r w:rsidR="005F0D2A" w:rsidRPr="00EE1E37">
        <w:rPr>
          <w:sz w:val="24"/>
          <w:szCs w:val="24"/>
        </w:rPr>
        <w:t>е</w:t>
      </w:r>
      <w:r w:rsidRPr="00EE1E37">
        <w:rPr>
          <w:sz w:val="24"/>
          <w:szCs w:val="24"/>
        </w:rPr>
        <w:t>: учебно-методическая работа – 4040 баллов</w:t>
      </w:r>
      <w:r w:rsidR="005F0D2A" w:rsidRPr="00EE1E37">
        <w:rPr>
          <w:sz w:val="24"/>
          <w:szCs w:val="24"/>
        </w:rPr>
        <w:t xml:space="preserve"> (30%)</w:t>
      </w:r>
      <w:r w:rsidRPr="00EE1E37">
        <w:rPr>
          <w:sz w:val="24"/>
          <w:szCs w:val="24"/>
        </w:rPr>
        <w:t>, научная работа – 8530 баллов</w:t>
      </w:r>
      <w:r w:rsidR="005F0D2A" w:rsidRPr="00EE1E37">
        <w:rPr>
          <w:sz w:val="24"/>
          <w:szCs w:val="24"/>
        </w:rPr>
        <w:t xml:space="preserve"> (64%)</w:t>
      </w:r>
      <w:r w:rsidRPr="00EE1E37">
        <w:rPr>
          <w:sz w:val="24"/>
          <w:szCs w:val="24"/>
        </w:rPr>
        <w:t>, воспитательная работа – 850 баллов</w:t>
      </w:r>
      <w:r w:rsidR="005F0D2A" w:rsidRPr="00EE1E37">
        <w:rPr>
          <w:sz w:val="24"/>
          <w:szCs w:val="24"/>
        </w:rPr>
        <w:t xml:space="preserve"> (6%)</w:t>
      </w:r>
      <w:r w:rsidRPr="00EE1E37">
        <w:rPr>
          <w:sz w:val="24"/>
          <w:szCs w:val="24"/>
        </w:rPr>
        <w:t xml:space="preserve">. </w:t>
      </w:r>
    </w:p>
    <w:p w:rsidR="00EE1E37" w:rsidRPr="00EE1E37" w:rsidRDefault="00EE1E37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</w:p>
    <w:p w:rsidR="003E388E" w:rsidRPr="00194E1B" w:rsidRDefault="00EE1E37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18C65" wp14:editId="712E1A31">
            <wp:extent cx="5372100" cy="15144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F7985" w:rsidRPr="00474ED6" w:rsidRDefault="008F7985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474ED6">
        <w:rPr>
          <w:sz w:val="24"/>
          <w:szCs w:val="24"/>
        </w:rPr>
        <w:t xml:space="preserve">Рисунок 1. </w:t>
      </w:r>
      <w:r w:rsidR="00474ED6">
        <w:rPr>
          <w:sz w:val="24"/>
          <w:szCs w:val="24"/>
        </w:rPr>
        <w:t xml:space="preserve">Соотношение видов работы преподавателей </w:t>
      </w:r>
    </w:p>
    <w:p w:rsidR="003E388E" w:rsidRDefault="003E388E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CA6502" w:rsidRPr="00EE1E37" w:rsidRDefault="00CA6502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EE1E37">
        <w:rPr>
          <w:rStyle w:val="s0"/>
          <w:color w:val="000000"/>
          <w:sz w:val="24"/>
          <w:szCs w:val="24"/>
        </w:rPr>
        <w:t xml:space="preserve">Итоговое выполнение ключевых критериев индивидуального плана преподавателей по направлениям деятельности </w:t>
      </w:r>
      <w:r w:rsidR="0054340C" w:rsidRPr="00EE1E37">
        <w:rPr>
          <w:rStyle w:val="s0"/>
          <w:color w:val="000000"/>
          <w:sz w:val="24"/>
          <w:szCs w:val="24"/>
        </w:rPr>
        <w:t>выглядит следующим образом</w:t>
      </w:r>
      <w:r w:rsidRPr="00EE1E37">
        <w:rPr>
          <w:rStyle w:val="s0"/>
          <w:color w:val="000000"/>
          <w:sz w:val="24"/>
          <w:szCs w:val="24"/>
        </w:rPr>
        <w:t xml:space="preserve">: </w:t>
      </w:r>
      <w:r w:rsidRPr="00EE1E37">
        <w:rPr>
          <w:sz w:val="24"/>
          <w:szCs w:val="24"/>
        </w:rPr>
        <w:t>учебно-методическая работа – 234112 баллов (</w:t>
      </w:r>
      <w:r w:rsidR="0054340C" w:rsidRPr="00EE1E37">
        <w:rPr>
          <w:sz w:val="24"/>
          <w:szCs w:val="24"/>
        </w:rPr>
        <w:t>46</w:t>
      </w:r>
      <w:r w:rsidRPr="00EE1E37">
        <w:rPr>
          <w:sz w:val="24"/>
          <w:szCs w:val="24"/>
        </w:rPr>
        <w:t xml:space="preserve">%), научная работа – </w:t>
      </w:r>
      <w:r w:rsidR="0054340C" w:rsidRPr="00EE1E37">
        <w:rPr>
          <w:sz w:val="24"/>
          <w:szCs w:val="24"/>
        </w:rPr>
        <w:t>265280</w:t>
      </w:r>
      <w:r w:rsidRPr="00EE1E37">
        <w:rPr>
          <w:sz w:val="24"/>
          <w:szCs w:val="24"/>
        </w:rPr>
        <w:t xml:space="preserve"> баллов (</w:t>
      </w:r>
      <w:r w:rsidR="0054340C" w:rsidRPr="00EE1E37">
        <w:rPr>
          <w:sz w:val="24"/>
          <w:szCs w:val="24"/>
        </w:rPr>
        <w:t>53</w:t>
      </w:r>
      <w:r w:rsidRPr="00EE1E37">
        <w:rPr>
          <w:sz w:val="24"/>
          <w:szCs w:val="24"/>
        </w:rPr>
        <w:t xml:space="preserve">%), воспитательная работа – </w:t>
      </w:r>
      <w:r w:rsidR="0054340C" w:rsidRPr="00EE1E37">
        <w:rPr>
          <w:sz w:val="24"/>
          <w:szCs w:val="24"/>
        </w:rPr>
        <w:t>6250</w:t>
      </w:r>
      <w:r w:rsidRPr="00EE1E37">
        <w:rPr>
          <w:sz w:val="24"/>
          <w:szCs w:val="24"/>
        </w:rPr>
        <w:t xml:space="preserve"> баллов (</w:t>
      </w:r>
      <w:r w:rsidR="0054340C" w:rsidRPr="00EE1E37">
        <w:rPr>
          <w:sz w:val="24"/>
          <w:szCs w:val="24"/>
        </w:rPr>
        <w:t>1</w:t>
      </w:r>
      <w:r w:rsidRPr="00EE1E37">
        <w:rPr>
          <w:sz w:val="24"/>
          <w:szCs w:val="24"/>
        </w:rPr>
        <w:t>%).</w:t>
      </w:r>
    </w:p>
    <w:p w:rsidR="00560988" w:rsidRPr="00EE1E37" w:rsidRDefault="00560988" w:rsidP="007505E6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4"/>
          <w:szCs w:val="24"/>
        </w:rPr>
      </w:pPr>
    </w:p>
    <w:p w:rsidR="0054340C" w:rsidRPr="00194E1B" w:rsidRDefault="0054340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194E1B">
        <w:rPr>
          <w:noProof/>
          <w:sz w:val="28"/>
          <w:szCs w:val="28"/>
          <w:lang w:eastAsia="ru-RU"/>
        </w:rPr>
        <w:drawing>
          <wp:inline distT="0" distB="0" distL="0" distR="0" wp14:anchorId="6F6E08FA" wp14:editId="6B5B532E">
            <wp:extent cx="5305425" cy="18954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340C" w:rsidRPr="00474ED6" w:rsidRDefault="0054340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474ED6">
        <w:rPr>
          <w:sz w:val="24"/>
          <w:szCs w:val="24"/>
        </w:rPr>
        <w:t>Рисунок 2.</w:t>
      </w:r>
      <w:r w:rsidR="00474ED6">
        <w:rPr>
          <w:sz w:val="24"/>
          <w:szCs w:val="24"/>
        </w:rPr>
        <w:t xml:space="preserve"> Анализ выполнения ИПРП по ключевым показателям</w:t>
      </w:r>
    </w:p>
    <w:p w:rsidR="0054340C" w:rsidRPr="00194E1B" w:rsidRDefault="0054340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4340C" w:rsidRPr="00EE1E37" w:rsidRDefault="005A425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EE1E37">
        <w:rPr>
          <w:sz w:val="24"/>
          <w:szCs w:val="24"/>
        </w:rPr>
        <w:t>Среди критериев рейтинга по учебно-методическ</w:t>
      </w:r>
      <w:r w:rsidR="00EE1E37">
        <w:rPr>
          <w:sz w:val="24"/>
          <w:szCs w:val="24"/>
        </w:rPr>
        <w:t>ой</w:t>
      </w:r>
      <w:r w:rsidRPr="00EE1E37">
        <w:rPr>
          <w:sz w:val="24"/>
          <w:szCs w:val="24"/>
        </w:rPr>
        <w:t xml:space="preserve"> работ</w:t>
      </w:r>
      <w:r w:rsidR="00EE1E37">
        <w:rPr>
          <w:sz w:val="24"/>
          <w:szCs w:val="24"/>
        </w:rPr>
        <w:t>е</w:t>
      </w:r>
      <w:r w:rsidRPr="00EE1E37">
        <w:rPr>
          <w:sz w:val="24"/>
          <w:szCs w:val="24"/>
        </w:rPr>
        <w:t xml:space="preserve"> превалирует повышение квалификации ППС по общепедагогическому направлению и по специальности. Так, </w:t>
      </w:r>
      <w:r w:rsidR="00864D8E" w:rsidRPr="00EE1E37">
        <w:rPr>
          <w:sz w:val="24"/>
          <w:szCs w:val="24"/>
        </w:rPr>
        <w:t xml:space="preserve">повышение квалификации в общем объеме учебно-методической работы занимает около 60%. Стоит отметить, что по итогам первого полугодия </w:t>
      </w:r>
      <w:proofErr w:type="spellStart"/>
      <w:r w:rsidR="00864D8E" w:rsidRPr="00EE1E37">
        <w:rPr>
          <w:sz w:val="24"/>
          <w:szCs w:val="24"/>
        </w:rPr>
        <w:t>ОПиПР</w:t>
      </w:r>
      <w:proofErr w:type="spellEnd"/>
      <w:r w:rsidR="00864D8E" w:rsidRPr="00EE1E37">
        <w:rPr>
          <w:sz w:val="24"/>
          <w:szCs w:val="24"/>
        </w:rPr>
        <w:t xml:space="preserve">, </w:t>
      </w:r>
      <w:r w:rsidR="005D43C4" w:rsidRPr="00EE1E37">
        <w:rPr>
          <w:sz w:val="24"/>
          <w:szCs w:val="24"/>
        </w:rPr>
        <w:t>предвидя</w:t>
      </w:r>
      <w:r w:rsidR="00864D8E" w:rsidRPr="00EE1E37">
        <w:rPr>
          <w:sz w:val="24"/>
          <w:szCs w:val="24"/>
        </w:rPr>
        <w:t xml:space="preserve"> тенденцию, вышел с предложением о введении ограничения на количество сертификатов о повышении квалификации. </w:t>
      </w:r>
    </w:p>
    <w:p w:rsidR="005A4257" w:rsidRPr="00194E1B" w:rsidRDefault="005A425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A4257" w:rsidRPr="00194E1B" w:rsidRDefault="005A425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194E1B">
        <w:rPr>
          <w:noProof/>
          <w:sz w:val="28"/>
          <w:szCs w:val="28"/>
          <w:lang w:eastAsia="ru-RU"/>
        </w:rPr>
        <w:drawing>
          <wp:inline distT="0" distB="0" distL="0" distR="0" wp14:anchorId="29930F5D" wp14:editId="09C11BCF">
            <wp:extent cx="5181600" cy="2057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4257" w:rsidRPr="00474ED6" w:rsidRDefault="005D43C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474ED6">
        <w:rPr>
          <w:sz w:val="24"/>
          <w:szCs w:val="24"/>
        </w:rPr>
        <w:t>Рисунок 3.</w:t>
      </w:r>
      <w:r w:rsidR="00474ED6">
        <w:rPr>
          <w:sz w:val="24"/>
          <w:szCs w:val="24"/>
        </w:rPr>
        <w:t xml:space="preserve"> Анализ критериев рейтинга ППС. Учебно-методическая работа</w:t>
      </w:r>
    </w:p>
    <w:p w:rsidR="005D43C4" w:rsidRPr="00194E1B" w:rsidRDefault="005D43C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5A4257" w:rsidRPr="002C4535" w:rsidRDefault="005D43C4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2C4535">
        <w:rPr>
          <w:sz w:val="24"/>
          <w:szCs w:val="24"/>
        </w:rPr>
        <w:t>В этой связи необходимо отметить, что н</w:t>
      </w:r>
      <w:r w:rsidR="00EE1E37" w:rsidRPr="002C4535">
        <w:rPr>
          <w:sz w:val="24"/>
          <w:szCs w:val="24"/>
        </w:rPr>
        <w:t>е</w:t>
      </w:r>
      <w:r w:rsidRPr="002C4535">
        <w:rPr>
          <w:sz w:val="24"/>
          <w:szCs w:val="24"/>
        </w:rPr>
        <w:t xml:space="preserve"> все кафедры и </w:t>
      </w:r>
      <w:r w:rsidR="00A5289C" w:rsidRPr="002C4535">
        <w:rPr>
          <w:sz w:val="24"/>
          <w:szCs w:val="24"/>
        </w:rPr>
        <w:t>н</w:t>
      </w:r>
      <w:r w:rsidR="00EE1E37" w:rsidRPr="002C4535">
        <w:rPr>
          <w:sz w:val="24"/>
          <w:szCs w:val="24"/>
        </w:rPr>
        <w:t>е</w:t>
      </w:r>
      <w:r w:rsidR="00A5289C" w:rsidRPr="002C4535">
        <w:rPr>
          <w:sz w:val="24"/>
          <w:szCs w:val="24"/>
        </w:rPr>
        <w:t xml:space="preserve"> </w:t>
      </w:r>
      <w:r w:rsidRPr="002C4535">
        <w:rPr>
          <w:sz w:val="24"/>
          <w:szCs w:val="24"/>
        </w:rPr>
        <w:t xml:space="preserve">все преподаватели пошли по пути «набора баллов». </w:t>
      </w:r>
      <w:r w:rsidR="00A5289C" w:rsidRPr="002C4535">
        <w:rPr>
          <w:sz w:val="24"/>
          <w:szCs w:val="24"/>
        </w:rPr>
        <w:t>Положительно с</w:t>
      </w:r>
      <w:r w:rsidR="00704A2A" w:rsidRPr="002C4535">
        <w:rPr>
          <w:sz w:val="24"/>
          <w:szCs w:val="24"/>
        </w:rPr>
        <w:t xml:space="preserve">тоит отметить кафедры </w:t>
      </w:r>
      <w:r w:rsidR="00EE1E37" w:rsidRPr="002C4535">
        <w:rPr>
          <w:sz w:val="24"/>
          <w:szCs w:val="24"/>
        </w:rPr>
        <w:t>э</w:t>
      </w:r>
      <w:r w:rsidRPr="002C4535">
        <w:rPr>
          <w:sz w:val="24"/>
          <w:szCs w:val="24"/>
        </w:rPr>
        <w:t xml:space="preserve">кологии, </w:t>
      </w:r>
      <w:r w:rsidR="00EE1E37" w:rsidRPr="002C4535">
        <w:rPr>
          <w:sz w:val="24"/>
          <w:szCs w:val="24"/>
        </w:rPr>
        <w:t>и</w:t>
      </w:r>
      <w:r w:rsidRPr="002C4535">
        <w:rPr>
          <w:sz w:val="24"/>
          <w:szCs w:val="24"/>
        </w:rPr>
        <w:t xml:space="preserve">ностранной филологии, </w:t>
      </w:r>
      <w:r w:rsidR="00EE1E37" w:rsidRPr="002C4535">
        <w:rPr>
          <w:sz w:val="24"/>
          <w:szCs w:val="24"/>
        </w:rPr>
        <w:t>в</w:t>
      </w:r>
      <w:r w:rsidRPr="002C4535">
        <w:rPr>
          <w:sz w:val="24"/>
          <w:szCs w:val="24"/>
        </w:rPr>
        <w:t xml:space="preserve">етеринарной медицины, ТППЖ. </w:t>
      </w:r>
      <w:r w:rsidR="00704A2A" w:rsidRPr="002C4535">
        <w:rPr>
          <w:sz w:val="24"/>
          <w:szCs w:val="24"/>
        </w:rPr>
        <w:t xml:space="preserve">Кафедры Машиностроения, МТА сместили акцент на повышение квалификации по специальности. Что касается механизмов, то назрела необходимость в разработке внутреннего документа, регламентирующего повышение квалификации. </w:t>
      </w:r>
      <w:r w:rsidR="00C60B80" w:rsidRPr="002C4535">
        <w:rPr>
          <w:sz w:val="24"/>
          <w:szCs w:val="24"/>
        </w:rPr>
        <w:t xml:space="preserve">Так, согласно «Общих требований к профессиональной подготовке, переподготовке и повышению квалификации кадров в организации» обязательным условием являются, </w:t>
      </w:r>
      <w:proofErr w:type="gramStart"/>
      <w:r w:rsidR="00A5289C" w:rsidRPr="002C4535">
        <w:rPr>
          <w:sz w:val="24"/>
          <w:szCs w:val="24"/>
        </w:rPr>
        <w:t>во</w:t>
      </w:r>
      <w:proofErr w:type="gramEnd"/>
      <w:r w:rsidR="00C60B80" w:rsidRPr="002C4535">
        <w:rPr>
          <w:sz w:val="24"/>
          <w:szCs w:val="24"/>
        </w:rPr>
        <w:t xml:space="preserve"> первых</w:t>
      </w:r>
      <w:r w:rsidR="00A5289C" w:rsidRPr="002C4535">
        <w:rPr>
          <w:sz w:val="24"/>
          <w:szCs w:val="24"/>
        </w:rPr>
        <w:t>,</w:t>
      </w:r>
      <w:r w:rsidR="00C60B80" w:rsidRPr="002C4535">
        <w:rPr>
          <w:sz w:val="24"/>
          <w:szCs w:val="24"/>
        </w:rPr>
        <w:t xml:space="preserve"> наличие определенных норм в Уставе организации, во вторых, наличие рабочих планов и программ, учебных и методических материалов, в третьих, договора обучения или оказания образовательных услуг. </w:t>
      </w:r>
      <w:r w:rsidR="00A5289C" w:rsidRPr="002C4535">
        <w:rPr>
          <w:sz w:val="24"/>
          <w:szCs w:val="24"/>
        </w:rPr>
        <w:t xml:space="preserve">У нас повышение квалификации проводится и в ТОО, и в ИП. </w:t>
      </w:r>
      <w:r w:rsidR="004B7618" w:rsidRPr="002C4535">
        <w:rPr>
          <w:sz w:val="24"/>
          <w:szCs w:val="24"/>
        </w:rPr>
        <w:t>Кроме того, п</w:t>
      </w:r>
      <w:r w:rsidR="00A5289C" w:rsidRPr="002C4535">
        <w:rPr>
          <w:sz w:val="24"/>
          <w:szCs w:val="24"/>
        </w:rPr>
        <w:t xml:space="preserve">реподаватели факультета информационных технологий </w:t>
      </w:r>
      <w:r w:rsidR="004B7618" w:rsidRPr="002C4535">
        <w:rPr>
          <w:sz w:val="24"/>
          <w:szCs w:val="24"/>
        </w:rPr>
        <w:t xml:space="preserve">в рамках проекта </w:t>
      </w:r>
      <w:r w:rsidR="004B7618" w:rsidRPr="002C4535">
        <w:rPr>
          <w:color w:val="000000"/>
          <w:sz w:val="24"/>
          <w:szCs w:val="24"/>
          <w:shd w:val="clear" w:color="auto" w:fill="FFFFFF"/>
        </w:rPr>
        <w:t xml:space="preserve">ECCUM программы </w:t>
      </w:r>
      <w:proofErr w:type="spellStart"/>
      <w:r w:rsidR="004B7618" w:rsidRPr="002C4535">
        <w:rPr>
          <w:color w:val="000000"/>
          <w:sz w:val="24"/>
          <w:szCs w:val="24"/>
          <w:shd w:val="clear" w:color="auto" w:fill="FFFFFF"/>
        </w:rPr>
        <w:t>Эразмус</w:t>
      </w:r>
      <w:proofErr w:type="spellEnd"/>
      <w:r w:rsidR="004B7618" w:rsidRPr="002C4535">
        <w:rPr>
          <w:color w:val="000000"/>
          <w:sz w:val="24"/>
          <w:szCs w:val="24"/>
          <w:shd w:val="clear" w:color="auto" w:fill="FFFFFF"/>
        </w:rPr>
        <w:t>+</w:t>
      </w:r>
      <w:r w:rsidR="004B7618" w:rsidRPr="002C45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5289C" w:rsidRPr="002C4535">
        <w:rPr>
          <w:sz w:val="24"/>
          <w:szCs w:val="24"/>
        </w:rPr>
        <w:t xml:space="preserve">прошли </w:t>
      </w:r>
      <w:proofErr w:type="gramStart"/>
      <w:r w:rsidR="00A5289C" w:rsidRPr="002C4535">
        <w:rPr>
          <w:sz w:val="24"/>
          <w:szCs w:val="24"/>
        </w:rPr>
        <w:t>обучение по программе</w:t>
      </w:r>
      <w:proofErr w:type="gramEnd"/>
      <w:r w:rsidR="00A5289C" w:rsidRPr="002C4535">
        <w:rPr>
          <w:sz w:val="24"/>
          <w:szCs w:val="24"/>
        </w:rPr>
        <w:t xml:space="preserve"> «</w:t>
      </w:r>
      <w:r w:rsidR="00366C4B" w:rsidRPr="002C4535">
        <w:rPr>
          <w:sz w:val="24"/>
          <w:szCs w:val="24"/>
        </w:rPr>
        <w:t>Введение в метод конечных элементов</w:t>
      </w:r>
      <w:r w:rsidR="00A5289C" w:rsidRPr="002C4535">
        <w:rPr>
          <w:sz w:val="24"/>
          <w:szCs w:val="24"/>
        </w:rPr>
        <w:t>»</w:t>
      </w:r>
      <w:r w:rsidR="00366C4B" w:rsidRPr="002C4535">
        <w:rPr>
          <w:sz w:val="24"/>
          <w:szCs w:val="24"/>
        </w:rPr>
        <w:t xml:space="preserve"> п</w:t>
      </w:r>
      <w:r w:rsidR="00366C4B" w:rsidRPr="002C4535">
        <w:rPr>
          <w:sz w:val="24"/>
          <w:szCs w:val="24"/>
          <w:shd w:val="clear" w:color="auto" w:fill="FFFFFF"/>
        </w:rPr>
        <w:t xml:space="preserve">рофессора </w:t>
      </w:r>
      <w:r w:rsidR="004B7618" w:rsidRPr="002C4535">
        <w:rPr>
          <w:sz w:val="24"/>
          <w:szCs w:val="24"/>
          <w:shd w:val="clear" w:color="auto" w:fill="FFFFFF"/>
        </w:rPr>
        <w:t xml:space="preserve">кафедры прикладной математики </w:t>
      </w:r>
      <w:proofErr w:type="spellStart"/>
      <w:r w:rsidR="00366C4B" w:rsidRPr="002C4535">
        <w:rPr>
          <w:sz w:val="24"/>
          <w:szCs w:val="24"/>
          <w:shd w:val="clear" w:color="auto" w:fill="FFFFFF"/>
        </w:rPr>
        <w:t>Херонимо</w:t>
      </w:r>
      <w:proofErr w:type="spellEnd"/>
      <w:r w:rsidR="00366C4B" w:rsidRPr="002C4535">
        <w:rPr>
          <w:sz w:val="24"/>
          <w:szCs w:val="24"/>
          <w:shd w:val="clear" w:color="auto" w:fill="FFFFFF"/>
        </w:rPr>
        <w:t xml:space="preserve"> </w:t>
      </w:r>
      <w:proofErr w:type="spellStart"/>
      <w:r w:rsidR="00366C4B" w:rsidRPr="002C4535">
        <w:rPr>
          <w:sz w:val="24"/>
          <w:szCs w:val="24"/>
          <w:shd w:val="clear" w:color="auto" w:fill="FFFFFF"/>
        </w:rPr>
        <w:t>Родригез</w:t>
      </w:r>
      <w:r w:rsidR="004B7618" w:rsidRPr="002C4535">
        <w:rPr>
          <w:sz w:val="24"/>
          <w:szCs w:val="24"/>
          <w:shd w:val="clear" w:color="auto" w:fill="FFFFFF"/>
        </w:rPr>
        <w:t>а</w:t>
      </w:r>
      <w:proofErr w:type="spellEnd"/>
      <w:r w:rsidR="00366C4B" w:rsidRPr="002C4535">
        <w:rPr>
          <w:sz w:val="24"/>
          <w:szCs w:val="24"/>
          <w:shd w:val="clear" w:color="auto" w:fill="FFFFFF"/>
        </w:rPr>
        <w:t xml:space="preserve"> Гарсиа, Университет</w:t>
      </w:r>
      <w:r w:rsidR="004B7618" w:rsidRPr="002C4535">
        <w:rPr>
          <w:sz w:val="24"/>
          <w:szCs w:val="24"/>
          <w:shd w:val="clear" w:color="auto" w:fill="FFFFFF"/>
        </w:rPr>
        <w:t xml:space="preserve">а Сантьяго де </w:t>
      </w:r>
      <w:proofErr w:type="spellStart"/>
      <w:r w:rsidR="004B7618" w:rsidRPr="002C4535">
        <w:rPr>
          <w:sz w:val="24"/>
          <w:szCs w:val="24"/>
          <w:shd w:val="clear" w:color="auto" w:fill="FFFFFF"/>
        </w:rPr>
        <w:t>Компостела</w:t>
      </w:r>
      <w:proofErr w:type="spellEnd"/>
      <w:r w:rsidR="00366C4B" w:rsidRPr="002C4535">
        <w:rPr>
          <w:sz w:val="24"/>
          <w:szCs w:val="24"/>
          <w:shd w:val="clear" w:color="auto" w:fill="FFFFFF"/>
        </w:rPr>
        <w:t xml:space="preserve"> </w:t>
      </w:r>
      <w:r w:rsidR="004B7618" w:rsidRPr="002C4535">
        <w:rPr>
          <w:sz w:val="24"/>
          <w:szCs w:val="24"/>
          <w:shd w:val="clear" w:color="auto" w:fill="FFFFFF"/>
        </w:rPr>
        <w:t>(</w:t>
      </w:r>
      <w:r w:rsidR="00366C4B" w:rsidRPr="002C4535">
        <w:rPr>
          <w:sz w:val="24"/>
          <w:szCs w:val="24"/>
          <w:shd w:val="clear" w:color="auto" w:fill="FFFFFF"/>
        </w:rPr>
        <w:t>Испания</w:t>
      </w:r>
      <w:r w:rsidR="004B7618" w:rsidRPr="002C4535">
        <w:rPr>
          <w:sz w:val="24"/>
          <w:szCs w:val="24"/>
          <w:shd w:val="clear" w:color="auto" w:fill="FFFFFF"/>
        </w:rPr>
        <w:t>)</w:t>
      </w:r>
      <w:r w:rsidR="00A5289C" w:rsidRPr="002C4535">
        <w:rPr>
          <w:sz w:val="24"/>
          <w:szCs w:val="24"/>
        </w:rPr>
        <w:t xml:space="preserve">. Однако </w:t>
      </w:r>
      <w:r w:rsidR="00AA14C0" w:rsidRPr="002C4535">
        <w:rPr>
          <w:sz w:val="24"/>
          <w:szCs w:val="24"/>
        </w:rPr>
        <w:t xml:space="preserve">документально это </w:t>
      </w:r>
      <w:r w:rsidR="00A5289C" w:rsidRPr="002C4535">
        <w:rPr>
          <w:sz w:val="24"/>
          <w:szCs w:val="24"/>
        </w:rPr>
        <w:t>не оформ</w:t>
      </w:r>
      <w:r w:rsidR="00AA14C0" w:rsidRPr="002C4535">
        <w:rPr>
          <w:sz w:val="24"/>
          <w:szCs w:val="24"/>
        </w:rPr>
        <w:t xml:space="preserve">лено </w:t>
      </w:r>
      <w:r w:rsidR="00A5289C" w:rsidRPr="002C4535">
        <w:rPr>
          <w:sz w:val="24"/>
          <w:szCs w:val="24"/>
        </w:rPr>
        <w:t xml:space="preserve">ни через одну службу в университете, ни через ОМС, ни через </w:t>
      </w:r>
      <w:proofErr w:type="spellStart"/>
      <w:r w:rsidR="00A5289C" w:rsidRPr="002C4535">
        <w:rPr>
          <w:sz w:val="24"/>
          <w:szCs w:val="24"/>
        </w:rPr>
        <w:t>ОПиПР</w:t>
      </w:r>
      <w:proofErr w:type="spellEnd"/>
      <w:r w:rsidR="00A5289C" w:rsidRPr="002C4535">
        <w:rPr>
          <w:sz w:val="24"/>
          <w:szCs w:val="24"/>
        </w:rPr>
        <w:t>. Сертификаты, выданные преподавателям, не прошли регистрации.</w:t>
      </w:r>
    </w:p>
    <w:p w:rsidR="00A5289C" w:rsidRPr="002C4535" w:rsidRDefault="00A5289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2C4535">
        <w:rPr>
          <w:sz w:val="24"/>
          <w:szCs w:val="24"/>
        </w:rPr>
        <w:lastRenderedPageBreak/>
        <w:t>В разделе</w:t>
      </w:r>
      <w:r w:rsidR="00EE1E37" w:rsidRPr="002C4535">
        <w:rPr>
          <w:sz w:val="24"/>
          <w:szCs w:val="24"/>
        </w:rPr>
        <w:t xml:space="preserve"> «У</w:t>
      </w:r>
      <w:r w:rsidRPr="002C4535">
        <w:rPr>
          <w:sz w:val="24"/>
          <w:szCs w:val="24"/>
        </w:rPr>
        <w:t>чебно-методическая работа</w:t>
      </w:r>
      <w:r w:rsidR="00EE1E37" w:rsidRPr="002C4535">
        <w:rPr>
          <w:sz w:val="24"/>
          <w:szCs w:val="24"/>
        </w:rPr>
        <w:t>»</w:t>
      </w:r>
      <w:r w:rsidRPr="002C4535">
        <w:rPr>
          <w:sz w:val="24"/>
          <w:szCs w:val="24"/>
        </w:rPr>
        <w:t xml:space="preserve"> </w:t>
      </w:r>
      <w:r w:rsidR="005F4853" w:rsidRPr="002C4535">
        <w:rPr>
          <w:sz w:val="24"/>
          <w:szCs w:val="24"/>
        </w:rPr>
        <w:t xml:space="preserve">по критерию </w:t>
      </w:r>
      <w:r w:rsidR="00EE1E37" w:rsidRPr="002C4535">
        <w:rPr>
          <w:sz w:val="24"/>
          <w:szCs w:val="24"/>
        </w:rPr>
        <w:t>«</w:t>
      </w:r>
      <w:r w:rsidR="005F4853" w:rsidRPr="002C4535">
        <w:rPr>
          <w:sz w:val="24"/>
          <w:szCs w:val="24"/>
        </w:rPr>
        <w:t>Получение гранта и звания «Лучший преподаватель Вуза МОН РК»</w:t>
      </w:r>
      <w:r w:rsidRPr="002C4535">
        <w:rPr>
          <w:sz w:val="24"/>
          <w:szCs w:val="24"/>
        </w:rPr>
        <w:t xml:space="preserve"> ни один  преподаватель не набрал </w:t>
      </w:r>
      <w:r w:rsidR="005F4853" w:rsidRPr="002C4535">
        <w:rPr>
          <w:sz w:val="24"/>
          <w:szCs w:val="24"/>
        </w:rPr>
        <w:t xml:space="preserve">ключевые </w:t>
      </w:r>
      <w:r w:rsidRPr="002C4535">
        <w:rPr>
          <w:sz w:val="24"/>
          <w:szCs w:val="24"/>
        </w:rPr>
        <w:t>баллы</w:t>
      </w:r>
      <w:r w:rsidR="005F4853" w:rsidRPr="002C4535">
        <w:rPr>
          <w:sz w:val="24"/>
          <w:szCs w:val="24"/>
        </w:rPr>
        <w:t>. Рекомендуется в текущем учебном году более качественно подходить к отбору претендентов на это звание.</w:t>
      </w:r>
    </w:p>
    <w:p w:rsidR="00BC475E" w:rsidRPr="002C4535" w:rsidRDefault="00A5289C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2C4535">
        <w:rPr>
          <w:sz w:val="24"/>
          <w:szCs w:val="24"/>
        </w:rPr>
        <w:t xml:space="preserve">Среди критериев рейтинга по разделу </w:t>
      </w:r>
      <w:r w:rsidR="00EE1E37" w:rsidRPr="002C4535">
        <w:rPr>
          <w:sz w:val="24"/>
          <w:szCs w:val="24"/>
        </w:rPr>
        <w:t>«Н</w:t>
      </w:r>
      <w:r w:rsidRPr="002C4535">
        <w:rPr>
          <w:sz w:val="24"/>
          <w:szCs w:val="24"/>
        </w:rPr>
        <w:t>аучная работа</w:t>
      </w:r>
      <w:r w:rsidR="00EE1E37" w:rsidRPr="002C4535">
        <w:rPr>
          <w:sz w:val="24"/>
          <w:szCs w:val="24"/>
        </w:rPr>
        <w:t>»</w:t>
      </w:r>
      <w:r w:rsidRPr="002C4535">
        <w:rPr>
          <w:sz w:val="24"/>
          <w:szCs w:val="24"/>
        </w:rPr>
        <w:t xml:space="preserve"> наибольший удельный вес имеют публикации статей в журналах </w:t>
      </w:r>
      <w:r w:rsidR="00BC475E" w:rsidRPr="002C4535">
        <w:rPr>
          <w:sz w:val="24"/>
          <w:szCs w:val="24"/>
        </w:rPr>
        <w:t xml:space="preserve">с </w:t>
      </w:r>
      <w:proofErr w:type="spellStart"/>
      <w:r w:rsidR="00BC475E" w:rsidRPr="002C4535">
        <w:rPr>
          <w:sz w:val="24"/>
          <w:szCs w:val="24"/>
        </w:rPr>
        <w:t>импакт</w:t>
      </w:r>
      <w:proofErr w:type="spellEnd"/>
      <w:r w:rsidR="00BC475E" w:rsidRPr="002C4535">
        <w:rPr>
          <w:sz w:val="24"/>
          <w:szCs w:val="24"/>
        </w:rPr>
        <w:t>-фактором более 35%. Это объясняется и большим удельным весом за единицу - 1000 баллов, и т</w:t>
      </w:r>
      <w:r w:rsidR="00EE1E37" w:rsidRPr="002C4535">
        <w:rPr>
          <w:sz w:val="24"/>
          <w:szCs w:val="24"/>
        </w:rPr>
        <w:t>ем</w:t>
      </w:r>
      <w:r w:rsidR="00BC475E" w:rsidRPr="002C4535">
        <w:rPr>
          <w:sz w:val="24"/>
          <w:szCs w:val="24"/>
        </w:rPr>
        <w:t xml:space="preserve">, что этот критерий </w:t>
      </w:r>
      <w:r w:rsidR="00EE1E37" w:rsidRPr="002C4535">
        <w:rPr>
          <w:sz w:val="24"/>
          <w:szCs w:val="24"/>
        </w:rPr>
        <w:t>учитывается</w:t>
      </w:r>
      <w:r w:rsidR="00BC475E" w:rsidRPr="002C4535">
        <w:rPr>
          <w:sz w:val="24"/>
          <w:szCs w:val="24"/>
        </w:rPr>
        <w:t xml:space="preserve"> три года. </w:t>
      </w:r>
    </w:p>
    <w:p w:rsidR="00BC475E" w:rsidRPr="002C4535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</w:p>
    <w:p w:rsidR="00A5289C" w:rsidRPr="00194E1B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194E1B">
        <w:rPr>
          <w:noProof/>
          <w:sz w:val="28"/>
          <w:szCs w:val="28"/>
          <w:lang w:eastAsia="ru-RU"/>
        </w:rPr>
        <w:drawing>
          <wp:inline distT="0" distB="0" distL="0" distR="0" wp14:anchorId="50549071" wp14:editId="57361A63">
            <wp:extent cx="5629275" cy="2905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4A2A" w:rsidRPr="00A344FF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A344FF">
        <w:rPr>
          <w:sz w:val="24"/>
          <w:szCs w:val="24"/>
        </w:rPr>
        <w:t>Рисунок 4.</w:t>
      </w:r>
      <w:r w:rsidR="00474ED6" w:rsidRPr="00A344FF">
        <w:rPr>
          <w:sz w:val="24"/>
          <w:szCs w:val="24"/>
        </w:rPr>
        <w:t>Анализ критериев рейтинга ППС. Научная работа.</w:t>
      </w:r>
    </w:p>
    <w:p w:rsidR="00BC475E" w:rsidRPr="00194E1B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BC475E" w:rsidRPr="002C4535" w:rsidRDefault="00BC475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2C4535">
        <w:rPr>
          <w:sz w:val="24"/>
          <w:szCs w:val="24"/>
        </w:rPr>
        <w:t xml:space="preserve">Публикации в журналах, рекомендованных ККСОН МОН РК, имеют в целом не плохой показатель (15%), однако, это </w:t>
      </w:r>
      <w:r w:rsidR="00CA682C" w:rsidRPr="002C4535">
        <w:rPr>
          <w:sz w:val="24"/>
          <w:szCs w:val="24"/>
        </w:rPr>
        <w:t xml:space="preserve">в большинстве </w:t>
      </w:r>
      <w:r w:rsidRPr="002C4535">
        <w:rPr>
          <w:sz w:val="24"/>
          <w:szCs w:val="24"/>
        </w:rPr>
        <w:t>з</w:t>
      </w:r>
      <w:r w:rsidR="00CA682C" w:rsidRPr="002C4535">
        <w:rPr>
          <w:sz w:val="24"/>
          <w:szCs w:val="24"/>
        </w:rPr>
        <w:t>а</w:t>
      </w:r>
      <w:r w:rsidRPr="002C4535">
        <w:rPr>
          <w:sz w:val="24"/>
          <w:szCs w:val="24"/>
        </w:rPr>
        <w:t xml:space="preserve"> счет публикаций в журнале «3</w:t>
      </w:r>
      <w:r w:rsidRPr="002C4535">
        <w:rPr>
          <w:sz w:val="24"/>
          <w:szCs w:val="24"/>
          <w:lang w:val="en-US"/>
        </w:rPr>
        <w:t>i</w:t>
      </w:r>
      <w:r w:rsidRPr="002C4535">
        <w:rPr>
          <w:sz w:val="24"/>
          <w:szCs w:val="24"/>
        </w:rPr>
        <w:t xml:space="preserve">», </w:t>
      </w:r>
      <w:r w:rsidR="00CA682C" w:rsidRPr="002C4535">
        <w:rPr>
          <w:sz w:val="24"/>
          <w:szCs w:val="24"/>
        </w:rPr>
        <w:t xml:space="preserve">который для </w:t>
      </w:r>
      <w:proofErr w:type="gramStart"/>
      <w:r w:rsidR="00CA682C" w:rsidRPr="002C4535">
        <w:rPr>
          <w:sz w:val="24"/>
          <w:szCs w:val="24"/>
        </w:rPr>
        <w:t>сельского-хозяйства</w:t>
      </w:r>
      <w:proofErr w:type="gramEnd"/>
      <w:r w:rsidR="00CA682C" w:rsidRPr="002C4535">
        <w:rPr>
          <w:sz w:val="24"/>
          <w:szCs w:val="24"/>
        </w:rPr>
        <w:t xml:space="preserve"> и ветеринарии, является ККСОН.</w:t>
      </w:r>
      <w:r w:rsidR="00111080" w:rsidRPr="002C4535">
        <w:rPr>
          <w:sz w:val="24"/>
          <w:szCs w:val="24"/>
        </w:rPr>
        <w:t xml:space="preserve"> В прошлом учебном году впервые к ведению публикационной активности ППС привлечена Научная библиотека «Б</w:t>
      </w:r>
      <w:r w:rsidR="00111080" w:rsidRPr="002C4535">
        <w:rPr>
          <w:sz w:val="24"/>
          <w:szCs w:val="24"/>
          <w:lang w:val="kk-KZ"/>
        </w:rPr>
        <w:t>і</w:t>
      </w:r>
      <w:proofErr w:type="gramStart"/>
      <w:r w:rsidR="00111080" w:rsidRPr="002C4535">
        <w:rPr>
          <w:sz w:val="24"/>
          <w:szCs w:val="24"/>
          <w:lang w:val="kk-KZ"/>
        </w:rPr>
        <w:t>л</w:t>
      </w:r>
      <w:proofErr w:type="gramEnd"/>
      <w:r w:rsidR="00111080" w:rsidRPr="002C4535">
        <w:rPr>
          <w:sz w:val="24"/>
          <w:szCs w:val="24"/>
          <w:lang w:val="kk-KZ"/>
        </w:rPr>
        <w:t>ім Орталығы</w:t>
      </w:r>
      <w:r w:rsidR="00111080" w:rsidRPr="002C4535">
        <w:rPr>
          <w:sz w:val="24"/>
          <w:szCs w:val="24"/>
        </w:rPr>
        <w:t>». В этом году, думается, что механизм взаимодействия кафедр и библиотеки по учету публикаций выйдет на новый эффективный уровень.</w:t>
      </w:r>
    </w:p>
    <w:p w:rsidR="002C4535" w:rsidRDefault="00FC1DFE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2C4535">
        <w:rPr>
          <w:sz w:val="24"/>
          <w:szCs w:val="24"/>
        </w:rPr>
        <w:t xml:space="preserve">Более 20 процентов от общего объема баллов за научную работу занимает критерий «Подготовка победителей конкурсов НИРС, предметных олимпиад, конференций и соревнований». </w:t>
      </w:r>
      <w:r w:rsidR="002C4535">
        <w:rPr>
          <w:sz w:val="24"/>
          <w:szCs w:val="24"/>
        </w:rPr>
        <w:t>О</w:t>
      </w:r>
      <w:r w:rsidR="002C4535" w:rsidRPr="002C4535">
        <w:rPr>
          <w:sz w:val="24"/>
          <w:szCs w:val="24"/>
        </w:rPr>
        <w:t xml:space="preserve">пределенную долю от этого критерия заняли преподаватели кафедры </w:t>
      </w:r>
      <w:proofErr w:type="spellStart"/>
      <w:r w:rsidR="002C4535" w:rsidRPr="002C4535">
        <w:rPr>
          <w:sz w:val="24"/>
          <w:szCs w:val="24"/>
        </w:rPr>
        <w:t>ФиСП</w:t>
      </w:r>
      <w:proofErr w:type="spellEnd"/>
      <w:r w:rsidR="002C4535" w:rsidRPr="002C4535">
        <w:rPr>
          <w:sz w:val="24"/>
          <w:szCs w:val="24"/>
        </w:rPr>
        <w:t xml:space="preserve"> (12500 баллов).</w:t>
      </w:r>
      <w:r w:rsidR="002C4535">
        <w:rPr>
          <w:sz w:val="24"/>
          <w:szCs w:val="24"/>
        </w:rPr>
        <w:t xml:space="preserve"> </w:t>
      </w:r>
      <w:r w:rsidRPr="002C4535">
        <w:rPr>
          <w:sz w:val="24"/>
          <w:szCs w:val="24"/>
        </w:rPr>
        <w:t>В процессе работы с подтверждающими документа</w:t>
      </w:r>
      <w:r w:rsidR="007E7066">
        <w:rPr>
          <w:sz w:val="24"/>
          <w:szCs w:val="24"/>
        </w:rPr>
        <w:t xml:space="preserve">ми </w:t>
      </w:r>
      <w:proofErr w:type="spellStart"/>
      <w:r w:rsidR="007E7066">
        <w:rPr>
          <w:sz w:val="24"/>
          <w:szCs w:val="24"/>
        </w:rPr>
        <w:t>УНиПО</w:t>
      </w:r>
      <w:proofErr w:type="spellEnd"/>
      <w:r w:rsidRPr="002C4535">
        <w:rPr>
          <w:sz w:val="24"/>
          <w:szCs w:val="24"/>
        </w:rPr>
        <w:t xml:space="preserve"> выявил факты участия студентов в так называемых </w:t>
      </w:r>
      <w:proofErr w:type="spellStart"/>
      <w:r w:rsidRPr="002C4535">
        <w:rPr>
          <w:sz w:val="24"/>
          <w:szCs w:val="24"/>
        </w:rPr>
        <w:t>фейковых</w:t>
      </w:r>
      <w:proofErr w:type="spellEnd"/>
      <w:r w:rsidRPr="002C4535">
        <w:rPr>
          <w:sz w:val="24"/>
          <w:szCs w:val="24"/>
        </w:rPr>
        <w:t xml:space="preserve"> дистанционных он-</w:t>
      </w:r>
      <w:proofErr w:type="spellStart"/>
      <w:r w:rsidRPr="002C4535">
        <w:rPr>
          <w:sz w:val="24"/>
          <w:szCs w:val="24"/>
        </w:rPr>
        <w:t>лайн</w:t>
      </w:r>
      <w:proofErr w:type="spellEnd"/>
      <w:r w:rsidRPr="002C4535">
        <w:rPr>
          <w:sz w:val="24"/>
          <w:szCs w:val="24"/>
        </w:rPr>
        <w:t xml:space="preserve"> олимпиадах. Такими олимпиадами признаны ресурсы Мир олимпиад, </w:t>
      </w:r>
      <w:r w:rsidR="00194E1B" w:rsidRPr="002C4535">
        <w:rPr>
          <w:sz w:val="24"/>
          <w:szCs w:val="24"/>
        </w:rPr>
        <w:t>Академия интеллектуального развития.</w:t>
      </w:r>
      <w:r w:rsidR="000A2C19" w:rsidRPr="002C4535">
        <w:rPr>
          <w:sz w:val="24"/>
          <w:szCs w:val="24"/>
        </w:rPr>
        <w:t xml:space="preserve"> </w:t>
      </w:r>
      <w:r w:rsidR="00405CF5" w:rsidRPr="002C4535">
        <w:rPr>
          <w:sz w:val="24"/>
          <w:szCs w:val="24"/>
        </w:rPr>
        <w:t>Кроме того, большой резонанс со стороны преподавателей вызвал вопрос о</w:t>
      </w:r>
      <w:r w:rsidR="008636D2" w:rsidRPr="002C4535">
        <w:rPr>
          <w:sz w:val="24"/>
          <w:szCs w:val="24"/>
        </w:rPr>
        <w:t xml:space="preserve"> статус</w:t>
      </w:r>
      <w:r w:rsidR="00405CF5" w:rsidRPr="002C4535">
        <w:rPr>
          <w:sz w:val="24"/>
          <w:szCs w:val="24"/>
        </w:rPr>
        <w:t>е</w:t>
      </w:r>
      <w:r w:rsidR="008636D2" w:rsidRPr="002C4535">
        <w:rPr>
          <w:sz w:val="24"/>
          <w:szCs w:val="24"/>
        </w:rPr>
        <w:t xml:space="preserve"> международного конкурса</w:t>
      </w:r>
      <w:r w:rsidR="00405CF5" w:rsidRPr="002C4535">
        <w:rPr>
          <w:sz w:val="24"/>
          <w:szCs w:val="24"/>
        </w:rPr>
        <w:t xml:space="preserve"> НИРС, который </w:t>
      </w:r>
      <w:proofErr w:type="spellStart"/>
      <w:r w:rsidR="00405CF5" w:rsidRPr="002C4535">
        <w:rPr>
          <w:sz w:val="24"/>
          <w:szCs w:val="24"/>
        </w:rPr>
        <w:t>УНиПО</w:t>
      </w:r>
      <w:proofErr w:type="spellEnd"/>
      <w:r w:rsidR="00405CF5" w:rsidRPr="002C4535">
        <w:rPr>
          <w:sz w:val="24"/>
          <w:szCs w:val="24"/>
        </w:rPr>
        <w:t xml:space="preserve"> определяло по месту проведения мероприятия. Хотя все эти разъяснения были доведены до сведения ответственных за науку на факультетах, и во время проведения </w:t>
      </w:r>
      <w:r w:rsidR="00AA14C0" w:rsidRPr="002C4535">
        <w:rPr>
          <w:sz w:val="24"/>
          <w:szCs w:val="24"/>
        </w:rPr>
        <w:t xml:space="preserve">обучающих семинаров по планированию и подведению итогов выполнения ИПРП. </w:t>
      </w:r>
    </w:p>
    <w:p w:rsidR="00793EA7" w:rsidRPr="004C7ABF" w:rsidRDefault="006E259B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4C7ABF">
        <w:rPr>
          <w:sz w:val="24"/>
          <w:szCs w:val="24"/>
        </w:rPr>
        <w:t>В этой связи стоит сказать, что в Казахстане создана ассоциация вузов «Лига а</w:t>
      </w:r>
      <w:r w:rsidR="00793EA7" w:rsidRPr="004C7ABF">
        <w:rPr>
          <w:sz w:val="24"/>
          <w:szCs w:val="24"/>
        </w:rPr>
        <w:t>кадемическ</w:t>
      </w:r>
      <w:r w:rsidRPr="004C7ABF">
        <w:rPr>
          <w:sz w:val="24"/>
          <w:szCs w:val="24"/>
        </w:rPr>
        <w:t xml:space="preserve">ой </w:t>
      </w:r>
      <w:r w:rsidR="00793EA7" w:rsidRPr="004C7ABF">
        <w:rPr>
          <w:sz w:val="24"/>
          <w:szCs w:val="24"/>
        </w:rPr>
        <w:t>честност</w:t>
      </w:r>
      <w:r w:rsidRPr="004C7ABF">
        <w:rPr>
          <w:sz w:val="24"/>
          <w:szCs w:val="24"/>
        </w:rPr>
        <w:t>и». Наш университет, подписав Декларацию</w:t>
      </w:r>
      <w:r w:rsidR="00FC7387" w:rsidRPr="004C7ABF">
        <w:rPr>
          <w:sz w:val="24"/>
          <w:szCs w:val="24"/>
        </w:rPr>
        <w:t xml:space="preserve"> Лиги</w:t>
      </w:r>
      <w:r w:rsidRPr="004C7ABF">
        <w:rPr>
          <w:sz w:val="24"/>
          <w:szCs w:val="24"/>
        </w:rPr>
        <w:t xml:space="preserve">, взял на себя обязательства по реализации принципов </w:t>
      </w:r>
      <w:r w:rsidR="00FC7387" w:rsidRPr="004C7ABF">
        <w:rPr>
          <w:sz w:val="24"/>
          <w:szCs w:val="24"/>
        </w:rPr>
        <w:t>академической честности</w:t>
      </w:r>
      <w:r w:rsidR="00EF0D12" w:rsidRPr="004C7ABF">
        <w:rPr>
          <w:sz w:val="24"/>
          <w:szCs w:val="24"/>
        </w:rPr>
        <w:t xml:space="preserve">. При этом академическая честность трактуется не только как достойное поведение при выполнении письменных работ, эссе, исследований и т.д. (плагиат),  а включает и фальсификацию данных, </w:t>
      </w:r>
      <w:r w:rsidR="004C7ABF" w:rsidRPr="004C7ABF">
        <w:rPr>
          <w:sz w:val="24"/>
          <w:szCs w:val="24"/>
        </w:rPr>
        <w:t xml:space="preserve">и </w:t>
      </w:r>
      <w:r w:rsidR="00EF0D12" w:rsidRPr="004C7ABF">
        <w:rPr>
          <w:sz w:val="24"/>
          <w:szCs w:val="24"/>
        </w:rPr>
        <w:t xml:space="preserve">предоставление ложной информации, </w:t>
      </w:r>
      <w:r w:rsidR="004C7ABF" w:rsidRPr="004C7ABF">
        <w:rPr>
          <w:sz w:val="24"/>
          <w:szCs w:val="24"/>
        </w:rPr>
        <w:t xml:space="preserve">и публикации в «хищнических» журналах, и участие в </w:t>
      </w:r>
      <w:proofErr w:type="spellStart"/>
      <w:r w:rsidR="004C7ABF" w:rsidRPr="004C7ABF">
        <w:rPr>
          <w:sz w:val="24"/>
          <w:szCs w:val="24"/>
        </w:rPr>
        <w:t>фейковых</w:t>
      </w:r>
      <w:proofErr w:type="spellEnd"/>
      <w:r w:rsidR="004C7ABF" w:rsidRPr="004C7ABF">
        <w:rPr>
          <w:sz w:val="24"/>
          <w:szCs w:val="24"/>
        </w:rPr>
        <w:t xml:space="preserve">, не имеющих научную ценность конкурсах. </w:t>
      </w:r>
    </w:p>
    <w:p w:rsidR="00AA14C0" w:rsidRPr="00793EA7" w:rsidRDefault="00AA14C0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 xml:space="preserve">Преподаватели нашего университета получают патенты (4300 баллов), однако, нет </w:t>
      </w:r>
      <w:r w:rsidRPr="00793EA7">
        <w:rPr>
          <w:sz w:val="24"/>
          <w:szCs w:val="24"/>
        </w:rPr>
        <w:lastRenderedPageBreak/>
        <w:t xml:space="preserve">внедрения этих патентов в производственный процесс с оплатой (0 баллов). </w:t>
      </w:r>
    </w:p>
    <w:p w:rsidR="000A2C19" w:rsidRPr="00793EA7" w:rsidRDefault="00793EA7" w:rsidP="0040552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Новшеством прошлого года было присуждение ключевых показателей рейтинговой комиссией университета преподавателям за выполнение видов работ, не учтенных в Положении. </w:t>
      </w:r>
      <w:r w:rsidR="00656298" w:rsidRPr="00793EA7">
        <w:rPr>
          <w:sz w:val="24"/>
          <w:szCs w:val="24"/>
        </w:rPr>
        <w:t xml:space="preserve">Рейтинговая комиссия университета удовлетворила ходатайства деканов факультетов и начальников структурных подразделений о </w:t>
      </w:r>
      <w:r w:rsidR="006237F4" w:rsidRPr="00793EA7">
        <w:rPr>
          <w:sz w:val="24"/>
          <w:szCs w:val="24"/>
        </w:rPr>
        <w:t>присуждении дополнительных ключевых баллов преподавателям (всего 6250 баллов).</w:t>
      </w:r>
    </w:p>
    <w:p w:rsidR="0046522D" w:rsidRPr="00793EA7" w:rsidRDefault="0046522D" w:rsidP="0046522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4"/>
          <w:szCs w:val="24"/>
        </w:rPr>
      </w:pPr>
      <w:r w:rsidRPr="007E7066">
        <w:rPr>
          <w:rStyle w:val="s0"/>
          <w:b/>
          <w:color w:val="000000"/>
          <w:sz w:val="24"/>
          <w:szCs w:val="24"/>
        </w:rPr>
        <w:t>Рейтинг кафедр</w:t>
      </w:r>
      <w:r w:rsidRPr="00793EA7">
        <w:rPr>
          <w:rStyle w:val="s0"/>
          <w:color w:val="000000"/>
          <w:sz w:val="24"/>
          <w:szCs w:val="24"/>
        </w:rPr>
        <w:t xml:space="preserve"> состоит из </w:t>
      </w:r>
      <w:r w:rsidR="007E7066">
        <w:rPr>
          <w:rStyle w:val="s0"/>
          <w:color w:val="000000"/>
          <w:sz w:val="24"/>
          <w:szCs w:val="24"/>
        </w:rPr>
        <w:t xml:space="preserve">47 </w:t>
      </w:r>
      <w:r w:rsidRPr="00793EA7">
        <w:rPr>
          <w:rStyle w:val="s0"/>
          <w:color w:val="000000"/>
          <w:sz w:val="24"/>
          <w:szCs w:val="24"/>
        </w:rPr>
        <w:t xml:space="preserve">показателей, являющихся критериями нормативных документов, государственных программ в области образования и науки, </w:t>
      </w:r>
      <w:r w:rsidR="007E7066">
        <w:rPr>
          <w:rStyle w:val="s0"/>
          <w:color w:val="000000"/>
          <w:sz w:val="24"/>
          <w:szCs w:val="24"/>
        </w:rPr>
        <w:t>П</w:t>
      </w:r>
      <w:r w:rsidRPr="00793EA7">
        <w:rPr>
          <w:rStyle w:val="s0"/>
          <w:color w:val="000000"/>
          <w:sz w:val="24"/>
          <w:szCs w:val="24"/>
        </w:rPr>
        <w:t xml:space="preserve">лана </w:t>
      </w:r>
      <w:r w:rsidR="007E7066">
        <w:rPr>
          <w:rStyle w:val="s0"/>
          <w:color w:val="000000"/>
          <w:sz w:val="24"/>
          <w:szCs w:val="24"/>
        </w:rPr>
        <w:t xml:space="preserve">развития </w:t>
      </w:r>
      <w:r w:rsidRPr="00793EA7">
        <w:rPr>
          <w:rStyle w:val="s0"/>
          <w:color w:val="000000"/>
          <w:sz w:val="24"/>
          <w:szCs w:val="24"/>
        </w:rPr>
        <w:t xml:space="preserve">университета, генерального рейтинга вузов и т.п. За каждым из критериев закреплено ответственное структурное подразделение. 29 критериев имеет плановое задание. В октябре п.г. подразделения на факультеты передали плановые значения, факультеты их распределили между кафедрами. </w:t>
      </w:r>
      <w:r w:rsidRPr="00793EA7">
        <w:rPr>
          <w:sz w:val="24"/>
          <w:szCs w:val="24"/>
        </w:rPr>
        <w:t>Сбор данных осуществлялся в обратном порядке. Кафедры п</w:t>
      </w:r>
      <w:r w:rsidR="007E7066">
        <w:rPr>
          <w:sz w:val="24"/>
          <w:szCs w:val="24"/>
        </w:rPr>
        <w:t>е</w:t>
      </w:r>
      <w:r w:rsidRPr="00793EA7">
        <w:rPr>
          <w:sz w:val="24"/>
          <w:szCs w:val="24"/>
        </w:rPr>
        <w:t xml:space="preserve">редавали подтверждающие данные структурным подразделениям. Структурные подразделения предоставили данные в </w:t>
      </w:r>
      <w:proofErr w:type="spellStart"/>
      <w:r w:rsidRPr="00793EA7">
        <w:rPr>
          <w:sz w:val="24"/>
          <w:szCs w:val="24"/>
        </w:rPr>
        <w:t>УНиПО</w:t>
      </w:r>
      <w:proofErr w:type="spellEnd"/>
      <w:r w:rsidRPr="00793EA7">
        <w:rPr>
          <w:sz w:val="24"/>
          <w:szCs w:val="24"/>
        </w:rPr>
        <w:t xml:space="preserve"> для анализа.</w:t>
      </w:r>
    </w:p>
    <w:p w:rsidR="00E8100F" w:rsidRPr="00793EA7" w:rsidRDefault="00E8100F" w:rsidP="00E8100F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>В анализе рейтинга кафедр необходимо обратить в</w:t>
      </w:r>
      <w:r w:rsidR="00150C55" w:rsidRPr="00793EA7">
        <w:rPr>
          <w:sz w:val="24"/>
          <w:szCs w:val="24"/>
        </w:rPr>
        <w:t xml:space="preserve">нимание на плановые показатели, так как, при </w:t>
      </w:r>
      <w:proofErr w:type="gramStart"/>
      <w:r w:rsidR="00150C55" w:rsidRPr="00793EA7">
        <w:rPr>
          <w:sz w:val="24"/>
          <w:szCs w:val="24"/>
        </w:rPr>
        <w:t>не выполнении</w:t>
      </w:r>
      <w:proofErr w:type="gramEnd"/>
      <w:r w:rsidR="00150C55" w:rsidRPr="00793EA7">
        <w:rPr>
          <w:sz w:val="24"/>
          <w:szCs w:val="24"/>
        </w:rPr>
        <w:t xml:space="preserve"> плана назнача</w:t>
      </w:r>
      <w:r w:rsidR="00194E1B" w:rsidRPr="00793EA7">
        <w:rPr>
          <w:sz w:val="24"/>
          <w:szCs w:val="24"/>
        </w:rPr>
        <w:t>лись</w:t>
      </w:r>
      <w:r w:rsidR="00150C55" w:rsidRPr="00793EA7">
        <w:rPr>
          <w:sz w:val="24"/>
          <w:szCs w:val="24"/>
        </w:rPr>
        <w:t xml:space="preserve"> штрафные баллы. </w:t>
      </w:r>
    </w:p>
    <w:p w:rsidR="00A7385C" w:rsidRPr="00793EA7" w:rsidRDefault="00E8100F" w:rsidP="00E8100F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 xml:space="preserve">Одним из </w:t>
      </w:r>
      <w:r w:rsidR="00A7385C" w:rsidRPr="00793EA7">
        <w:rPr>
          <w:sz w:val="24"/>
          <w:szCs w:val="24"/>
        </w:rPr>
        <w:t xml:space="preserve">эффективных средств обучения в системе дистанционного обучения является использование </w:t>
      </w:r>
      <w:proofErr w:type="spellStart"/>
      <w:r w:rsidR="00A7385C" w:rsidRPr="00793EA7">
        <w:rPr>
          <w:sz w:val="24"/>
          <w:szCs w:val="24"/>
        </w:rPr>
        <w:t>видеолекций</w:t>
      </w:r>
      <w:proofErr w:type="spellEnd"/>
      <w:r w:rsidR="00A7385C" w:rsidRPr="00793EA7">
        <w:rPr>
          <w:sz w:val="24"/>
          <w:szCs w:val="24"/>
        </w:rPr>
        <w:t xml:space="preserve">. Разработка </w:t>
      </w:r>
      <w:proofErr w:type="spellStart"/>
      <w:r w:rsidR="00A7385C" w:rsidRPr="00793EA7">
        <w:rPr>
          <w:sz w:val="24"/>
          <w:szCs w:val="24"/>
        </w:rPr>
        <w:t>видеолекции</w:t>
      </w:r>
      <w:proofErr w:type="spellEnd"/>
      <w:r w:rsidR="00A7385C" w:rsidRPr="00793EA7">
        <w:rPr>
          <w:sz w:val="24"/>
          <w:szCs w:val="24"/>
        </w:rPr>
        <w:t xml:space="preserve"> является плановым показателем. Над этим показателем не доработали кафедры МТА, </w:t>
      </w:r>
      <w:proofErr w:type="spellStart"/>
      <w:r w:rsidR="00A7385C" w:rsidRPr="00793EA7">
        <w:rPr>
          <w:sz w:val="24"/>
          <w:szCs w:val="24"/>
        </w:rPr>
        <w:t>ЭЭиФ</w:t>
      </w:r>
      <w:proofErr w:type="spellEnd"/>
      <w:r w:rsidR="00A7385C" w:rsidRPr="00793EA7">
        <w:rPr>
          <w:sz w:val="24"/>
          <w:szCs w:val="24"/>
        </w:rPr>
        <w:t xml:space="preserve">, экономики, ТГП, УПП, </w:t>
      </w:r>
      <w:r w:rsidR="007E7066">
        <w:rPr>
          <w:sz w:val="24"/>
          <w:szCs w:val="24"/>
        </w:rPr>
        <w:t>и</w:t>
      </w:r>
      <w:r w:rsidR="00A7385C" w:rsidRPr="00793EA7">
        <w:rPr>
          <w:sz w:val="24"/>
          <w:szCs w:val="24"/>
        </w:rPr>
        <w:t xml:space="preserve">стории Казахстана, </w:t>
      </w:r>
      <w:r w:rsidR="007E7066">
        <w:rPr>
          <w:sz w:val="24"/>
          <w:szCs w:val="24"/>
        </w:rPr>
        <w:t>э</w:t>
      </w:r>
      <w:r w:rsidR="00A7385C" w:rsidRPr="00793EA7">
        <w:rPr>
          <w:sz w:val="24"/>
          <w:szCs w:val="24"/>
        </w:rPr>
        <w:t xml:space="preserve">кологии. </w:t>
      </w:r>
    </w:p>
    <w:p w:rsidR="004B7618" w:rsidRPr="00793EA7" w:rsidRDefault="0046522D" w:rsidP="00E8100F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>К</w:t>
      </w:r>
      <w:r w:rsidR="00E8100F" w:rsidRPr="00793EA7">
        <w:rPr>
          <w:sz w:val="24"/>
          <w:szCs w:val="24"/>
        </w:rPr>
        <w:t xml:space="preserve">афедры </w:t>
      </w:r>
      <w:r w:rsidR="007E7066">
        <w:rPr>
          <w:sz w:val="24"/>
          <w:szCs w:val="24"/>
        </w:rPr>
        <w:t>б</w:t>
      </w:r>
      <w:r w:rsidR="00E8100F" w:rsidRPr="00793EA7">
        <w:rPr>
          <w:sz w:val="24"/>
          <w:szCs w:val="24"/>
        </w:rPr>
        <w:t xml:space="preserve">ухгалтерского учета и аудита, </w:t>
      </w:r>
      <w:r w:rsidR="007E7066">
        <w:rPr>
          <w:sz w:val="24"/>
          <w:szCs w:val="24"/>
        </w:rPr>
        <w:t>э</w:t>
      </w:r>
      <w:r w:rsidR="00E8100F" w:rsidRPr="00793EA7">
        <w:rPr>
          <w:sz w:val="24"/>
          <w:szCs w:val="24"/>
        </w:rPr>
        <w:t xml:space="preserve">кономики, </w:t>
      </w:r>
      <w:r w:rsidR="007E7066">
        <w:rPr>
          <w:sz w:val="24"/>
          <w:szCs w:val="24"/>
        </w:rPr>
        <w:t>ф</w:t>
      </w:r>
      <w:r w:rsidR="00E8100F" w:rsidRPr="00793EA7">
        <w:rPr>
          <w:sz w:val="24"/>
          <w:szCs w:val="24"/>
        </w:rPr>
        <w:t xml:space="preserve">инансов и банковского дела не выполнили плановые показатели по публикациям в журналах, рекомендованных ККСОН МОН РК. </w:t>
      </w:r>
      <w:r w:rsidR="004B7618" w:rsidRPr="00793EA7">
        <w:rPr>
          <w:sz w:val="24"/>
          <w:szCs w:val="24"/>
        </w:rPr>
        <w:t xml:space="preserve">Преподаватели по 2 года стоят в очереди на публикацию в </w:t>
      </w:r>
      <w:r w:rsidR="007E7066">
        <w:rPr>
          <w:sz w:val="24"/>
          <w:szCs w:val="24"/>
        </w:rPr>
        <w:t xml:space="preserve">этих </w:t>
      </w:r>
      <w:r w:rsidR="004B7618" w:rsidRPr="00793EA7">
        <w:rPr>
          <w:sz w:val="24"/>
          <w:szCs w:val="24"/>
        </w:rPr>
        <w:t xml:space="preserve">журналах. </w:t>
      </w:r>
      <w:r w:rsidRPr="00793EA7">
        <w:rPr>
          <w:sz w:val="24"/>
          <w:szCs w:val="24"/>
        </w:rPr>
        <w:t xml:space="preserve">По публикациям в </w:t>
      </w:r>
      <w:r w:rsidR="007E7066">
        <w:rPr>
          <w:sz w:val="24"/>
          <w:szCs w:val="24"/>
        </w:rPr>
        <w:t>ж</w:t>
      </w:r>
      <w:r w:rsidRPr="00793EA7">
        <w:rPr>
          <w:sz w:val="24"/>
          <w:szCs w:val="24"/>
        </w:rPr>
        <w:t>урнале «3</w:t>
      </w:r>
      <w:r w:rsidRPr="00793EA7">
        <w:rPr>
          <w:sz w:val="24"/>
          <w:szCs w:val="24"/>
          <w:lang w:val="en-US"/>
        </w:rPr>
        <w:t>i</w:t>
      </w:r>
      <w:r w:rsidRPr="00793EA7">
        <w:rPr>
          <w:sz w:val="24"/>
          <w:szCs w:val="24"/>
        </w:rPr>
        <w:t xml:space="preserve">» на английском языке не выполнили плановые значения кафедры </w:t>
      </w:r>
      <w:r w:rsidR="007E7066">
        <w:rPr>
          <w:sz w:val="24"/>
          <w:szCs w:val="24"/>
        </w:rPr>
        <w:t>ф</w:t>
      </w:r>
      <w:r w:rsidRPr="00793EA7">
        <w:rPr>
          <w:sz w:val="24"/>
          <w:szCs w:val="24"/>
        </w:rPr>
        <w:t xml:space="preserve">илософии, </w:t>
      </w:r>
      <w:r w:rsidR="007E7066">
        <w:rPr>
          <w:sz w:val="24"/>
          <w:szCs w:val="24"/>
        </w:rPr>
        <w:t>п</w:t>
      </w:r>
      <w:r w:rsidRPr="00793EA7">
        <w:rPr>
          <w:sz w:val="24"/>
          <w:szCs w:val="24"/>
        </w:rPr>
        <w:t xml:space="preserve">рактической лингвистики, </w:t>
      </w:r>
      <w:r w:rsidR="007E7066">
        <w:rPr>
          <w:sz w:val="24"/>
          <w:szCs w:val="24"/>
        </w:rPr>
        <w:t>т</w:t>
      </w:r>
      <w:r w:rsidRPr="00793EA7">
        <w:rPr>
          <w:sz w:val="24"/>
          <w:szCs w:val="24"/>
        </w:rPr>
        <w:t xml:space="preserve">еории государства и права. </w:t>
      </w:r>
    </w:p>
    <w:p w:rsidR="00E8100F" w:rsidRPr="00793EA7" w:rsidRDefault="0046522D" w:rsidP="00E8100F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 xml:space="preserve">Анализ рейтинга кафедр </w:t>
      </w:r>
      <w:r w:rsidR="00194E1B" w:rsidRPr="00793EA7">
        <w:rPr>
          <w:sz w:val="24"/>
          <w:szCs w:val="24"/>
        </w:rPr>
        <w:t>показывает</w:t>
      </w:r>
      <w:r w:rsidRPr="00793EA7">
        <w:rPr>
          <w:sz w:val="24"/>
          <w:szCs w:val="24"/>
        </w:rPr>
        <w:t xml:space="preserve"> </w:t>
      </w:r>
      <w:r w:rsidR="00150C55" w:rsidRPr="00793EA7">
        <w:rPr>
          <w:sz w:val="24"/>
          <w:szCs w:val="24"/>
        </w:rPr>
        <w:t>не</w:t>
      </w:r>
      <w:r w:rsidR="004B7618" w:rsidRPr="00793EA7">
        <w:rPr>
          <w:sz w:val="24"/>
          <w:szCs w:val="24"/>
        </w:rPr>
        <w:t>рациональн</w:t>
      </w:r>
      <w:r w:rsidR="007E7066">
        <w:rPr>
          <w:sz w:val="24"/>
          <w:szCs w:val="24"/>
        </w:rPr>
        <w:t>ое</w:t>
      </w:r>
      <w:r w:rsidRPr="00793EA7">
        <w:rPr>
          <w:sz w:val="24"/>
          <w:szCs w:val="24"/>
        </w:rPr>
        <w:t xml:space="preserve"> планировани</w:t>
      </w:r>
      <w:r w:rsidR="007E7066">
        <w:rPr>
          <w:sz w:val="24"/>
          <w:szCs w:val="24"/>
        </w:rPr>
        <w:t>е</w:t>
      </w:r>
      <w:r w:rsidRPr="00793EA7">
        <w:rPr>
          <w:sz w:val="24"/>
          <w:szCs w:val="24"/>
        </w:rPr>
        <w:t xml:space="preserve"> на уровне факультетов. Так, факультет информационных технологий по критерию «</w:t>
      </w:r>
      <w:r w:rsidR="00150C55" w:rsidRPr="00793EA7">
        <w:rPr>
          <w:sz w:val="24"/>
          <w:szCs w:val="24"/>
        </w:rPr>
        <w:t xml:space="preserve">Научные статьи в журналах с </w:t>
      </w:r>
      <w:proofErr w:type="spellStart"/>
      <w:r w:rsidR="00150C55" w:rsidRPr="00793EA7">
        <w:rPr>
          <w:sz w:val="24"/>
          <w:szCs w:val="24"/>
        </w:rPr>
        <w:t>импакт</w:t>
      </w:r>
      <w:proofErr w:type="spellEnd"/>
      <w:r w:rsidR="00150C55" w:rsidRPr="00793EA7">
        <w:rPr>
          <w:sz w:val="24"/>
          <w:szCs w:val="24"/>
        </w:rPr>
        <w:t>-фактором» запланировал 2 статьи на кафедры Математики и Информационных систем. В то время</w:t>
      </w:r>
      <w:proofErr w:type="gramStart"/>
      <w:r w:rsidR="00150C55" w:rsidRPr="00793EA7">
        <w:rPr>
          <w:sz w:val="24"/>
          <w:szCs w:val="24"/>
        </w:rPr>
        <w:t>,</w:t>
      </w:r>
      <w:proofErr w:type="gramEnd"/>
      <w:r w:rsidR="00150C55" w:rsidRPr="00793EA7">
        <w:rPr>
          <w:sz w:val="24"/>
          <w:szCs w:val="24"/>
        </w:rPr>
        <w:t xml:space="preserve"> как кафедра информационных систем перевыполнила  этот показатель в 6 раз, к</w:t>
      </w:r>
      <w:r w:rsidR="004B7618" w:rsidRPr="00793EA7">
        <w:rPr>
          <w:sz w:val="24"/>
          <w:szCs w:val="24"/>
        </w:rPr>
        <w:t>афедра математики ушла в минус.</w:t>
      </w:r>
    </w:p>
    <w:p w:rsidR="004B7618" w:rsidRDefault="004B7618" w:rsidP="00E8100F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4"/>
          <w:szCs w:val="24"/>
        </w:rPr>
      </w:pPr>
      <w:r w:rsidRPr="00793EA7">
        <w:rPr>
          <w:sz w:val="24"/>
          <w:szCs w:val="24"/>
        </w:rPr>
        <w:t>Остается проблемным критерий «Количество средств, поступивших по договору на счет университета в рамках ГЧП». В прошлом году его выполнили только кафедры</w:t>
      </w:r>
      <w:r w:rsidR="0062052D" w:rsidRPr="00793EA7">
        <w:rPr>
          <w:sz w:val="24"/>
          <w:szCs w:val="24"/>
        </w:rPr>
        <w:t xml:space="preserve"> ветеринарной медицины, ТППЖ, биологии и химии, программного обеспечения, </w:t>
      </w:r>
      <w:r w:rsidR="0079523F">
        <w:rPr>
          <w:sz w:val="24"/>
          <w:szCs w:val="24"/>
        </w:rPr>
        <w:t>и</w:t>
      </w:r>
      <w:r w:rsidR="0062052D" w:rsidRPr="00793EA7">
        <w:rPr>
          <w:sz w:val="24"/>
          <w:szCs w:val="24"/>
        </w:rPr>
        <w:t xml:space="preserve">стории Казахстана. Не достаточно плодотворно работали кафедры и над критерием «Выступления и размещение кафедрами информации о специальностях, деятельности университета в СМИ», только кафедры </w:t>
      </w:r>
      <w:proofErr w:type="spellStart"/>
      <w:r w:rsidR="0062052D" w:rsidRPr="00793EA7">
        <w:rPr>
          <w:sz w:val="24"/>
          <w:szCs w:val="24"/>
        </w:rPr>
        <w:t>ЖиКМ</w:t>
      </w:r>
      <w:proofErr w:type="spellEnd"/>
      <w:r w:rsidR="0062052D" w:rsidRPr="00793EA7">
        <w:rPr>
          <w:sz w:val="24"/>
          <w:szCs w:val="24"/>
        </w:rPr>
        <w:t>, экологии, ветеринарной санитарии, информатики, программного обеспечения и экономики выполнили плановые задания. Заведующие кафедрой объясняют это низкой мотивацией преподавателей. Хотелось бы отметить, что с этого года этот критерий стал ключевым в рейтинге ППС.</w:t>
      </w:r>
    </w:p>
    <w:p w:rsidR="00262BB0" w:rsidRPr="00262BB0" w:rsidRDefault="00262BB0" w:rsidP="00EF061C">
      <w:pPr>
        <w:pStyle w:val="Default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Как отметил, министр</w:t>
      </w:r>
      <w:r w:rsidRPr="00262BB0">
        <w:rPr>
          <w:color w:val="auto"/>
          <w:shd w:val="clear" w:color="auto" w:fill="FFFFFF"/>
        </w:rPr>
        <w:t xml:space="preserve"> обр</w:t>
      </w:r>
      <w:r w:rsidR="001F79B1">
        <w:rPr>
          <w:color w:val="auto"/>
          <w:shd w:val="clear" w:color="auto" w:fill="FFFFFF"/>
        </w:rPr>
        <w:t xml:space="preserve">азования и науки РК </w:t>
      </w:r>
      <w:proofErr w:type="spellStart"/>
      <w:r w:rsidR="001F79B1">
        <w:rPr>
          <w:color w:val="auto"/>
          <w:shd w:val="clear" w:color="auto" w:fill="FFFFFF"/>
        </w:rPr>
        <w:t>Сагадиев</w:t>
      </w:r>
      <w:proofErr w:type="spellEnd"/>
      <w:r w:rsidR="001F79B1">
        <w:rPr>
          <w:color w:val="auto"/>
          <w:shd w:val="clear" w:color="auto" w:fill="FFFFFF"/>
        </w:rPr>
        <w:t>: «З</w:t>
      </w:r>
      <w:r w:rsidRPr="00262BB0">
        <w:rPr>
          <w:color w:val="auto"/>
          <w:shd w:val="clear" w:color="auto" w:fill="FFFFFF"/>
        </w:rPr>
        <w:t>акон</w:t>
      </w:r>
      <w:r w:rsidRPr="00262BB0">
        <w:rPr>
          <w:color w:val="auto"/>
          <w:shd w:val="clear" w:color="auto" w:fill="FFFFFF"/>
        </w:rPr>
        <w:t xml:space="preserve"> об академической свободе дает возможность вузам оперативно обновить образовательные программы. Рейтин</w:t>
      </w:r>
      <w:r>
        <w:rPr>
          <w:color w:val="auto"/>
          <w:shd w:val="clear" w:color="auto" w:fill="FFFFFF"/>
        </w:rPr>
        <w:t>г образовательных программ НПП «</w:t>
      </w:r>
      <w:proofErr w:type="spellStart"/>
      <w:r>
        <w:rPr>
          <w:color w:val="auto"/>
          <w:shd w:val="clear" w:color="auto" w:fill="FFFFFF"/>
        </w:rPr>
        <w:t>Атамекен</w:t>
      </w:r>
      <w:proofErr w:type="spellEnd"/>
      <w:r>
        <w:rPr>
          <w:color w:val="auto"/>
          <w:shd w:val="clear" w:color="auto" w:fill="FFFFFF"/>
        </w:rPr>
        <w:t>»</w:t>
      </w:r>
      <w:r w:rsidRPr="00262BB0">
        <w:rPr>
          <w:color w:val="auto"/>
          <w:shd w:val="clear" w:color="auto" w:fill="FFFFFF"/>
        </w:rPr>
        <w:t>, основанный на занятости и оценке профессиональных союзов работодателей, а значит на востребованности и современности образовательных программ, дает вузам четкое направление об</w:t>
      </w:r>
      <w:bookmarkStart w:id="0" w:name="_GoBack"/>
      <w:bookmarkEnd w:id="0"/>
      <w:r w:rsidRPr="00262BB0">
        <w:rPr>
          <w:color w:val="auto"/>
          <w:shd w:val="clear" w:color="auto" w:fill="FFFFFF"/>
        </w:rPr>
        <w:t>новления</w:t>
      </w:r>
      <w:proofErr w:type="gramStart"/>
      <w:r w:rsidRPr="00262BB0">
        <w:rPr>
          <w:color w:val="auto"/>
          <w:shd w:val="clear" w:color="auto" w:fill="FFFFFF"/>
        </w:rPr>
        <w:t>.</w:t>
      </w:r>
      <w:r w:rsidRPr="00262BB0">
        <w:rPr>
          <w:color w:val="auto"/>
          <w:shd w:val="clear" w:color="auto" w:fill="FFFFFF"/>
        </w:rPr>
        <w:t>»</w:t>
      </w:r>
      <w:r>
        <w:rPr>
          <w:color w:val="3F3F3F"/>
          <w:shd w:val="clear" w:color="auto" w:fill="FFFFFF"/>
        </w:rPr>
        <w:t xml:space="preserve"> </w:t>
      </w:r>
      <w:proofErr w:type="gramEnd"/>
      <w:r w:rsidRPr="00262BB0">
        <w:rPr>
          <w:color w:val="auto"/>
          <w:shd w:val="clear" w:color="auto" w:fill="FFFFFF"/>
        </w:rPr>
        <w:t>Для решения этой задачи в рейтинг кафедр в этом году включен показатель «Итоги рейтинга НПП «</w:t>
      </w:r>
      <w:proofErr w:type="spellStart"/>
      <w:r w:rsidRPr="00262BB0">
        <w:rPr>
          <w:color w:val="auto"/>
          <w:shd w:val="clear" w:color="auto" w:fill="FFFFFF"/>
        </w:rPr>
        <w:t>Атамекен</w:t>
      </w:r>
      <w:proofErr w:type="spellEnd"/>
      <w:r w:rsidRPr="00262BB0">
        <w:rPr>
          <w:color w:val="auto"/>
          <w:shd w:val="clear" w:color="auto" w:fill="FFFFFF"/>
        </w:rPr>
        <w:t>».</w:t>
      </w:r>
      <w:r>
        <w:rPr>
          <w:color w:val="auto"/>
          <w:shd w:val="clear" w:color="auto" w:fill="FFFFFF"/>
        </w:rPr>
        <w:t xml:space="preserve"> Осталось проработать механизм подсчета рейтинговых баллов.</w:t>
      </w:r>
    </w:p>
    <w:p w:rsidR="00B430F2" w:rsidRPr="00793EA7" w:rsidRDefault="0062052D" w:rsidP="00EF061C">
      <w:pPr>
        <w:pStyle w:val="Default"/>
        <w:ind w:firstLine="709"/>
        <w:jc w:val="both"/>
        <w:rPr>
          <w:color w:val="auto"/>
        </w:rPr>
      </w:pPr>
      <w:r w:rsidRPr="00262BB0">
        <w:rPr>
          <w:color w:val="auto"/>
        </w:rPr>
        <w:t xml:space="preserve">Отдельно хотелось бы </w:t>
      </w:r>
      <w:r w:rsidR="00CE3046" w:rsidRPr="00262BB0">
        <w:rPr>
          <w:color w:val="auto"/>
        </w:rPr>
        <w:t xml:space="preserve">обратить </w:t>
      </w:r>
      <w:r w:rsidRPr="00262BB0">
        <w:rPr>
          <w:color w:val="auto"/>
        </w:rPr>
        <w:t xml:space="preserve"> внимание на </w:t>
      </w:r>
      <w:r w:rsidR="00CE3046" w:rsidRPr="00262BB0">
        <w:rPr>
          <w:color w:val="auto"/>
        </w:rPr>
        <w:t>подведении</w:t>
      </w:r>
      <w:r w:rsidR="00CE3046" w:rsidRPr="00793EA7">
        <w:rPr>
          <w:color w:val="auto"/>
        </w:rPr>
        <w:t xml:space="preserve"> итогов рейтинга ППС на кафедральном и факультетском уровне. По-прежнему остается </w:t>
      </w:r>
      <w:r w:rsidR="00EF061C" w:rsidRPr="00793EA7">
        <w:rPr>
          <w:color w:val="auto"/>
        </w:rPr>
        <w:t xml:space="preserve">проблемой </w:t>
      </w:r>
      <w:r w:rsidR="005F7D9B" w:rsidRPr="00793EA7">
        <w:rPr>
          <w:color w:val="auto"/>
        </w:rPr>
        <w:t>исполнительск</w:t>
      </w:r>
      <w:r w:rsidR="00CE3046" w:rsidRPr="00793EA7">
        <w:rPr>
          <w:color w:val="auto"/>
        </w:rPr>
        <w:t xml:space="preserve">ая </w:t>
      </w:r>
      <w:r w:rsidR="005F7D9B" w:rsidRPr="00793EA7">
        <w:rPr>
          <w:color w:val="auto"/>
        </w:rPr>
        <w:t>дисциплин</w:t>
      </w:r>
      <w:r w:rsidR="00CE3046" w:rsidRPr="00793EA7">
        <w:rPr>
          <w:color w:val="auto"/>
        </w:rPr>
        <w:t>а</w:t>
      </w:r>
      <w:r w:rsidR="005F7D9B" w:rsidRPr="00793EA7">
        <w:rPr>
          <w:color w:val="auto"/>
        </w:rPr>
        <w:t xml:space="preserve"> преподавателей кафедр, которые вовремя не </w:t>
      </w:r>
      <w:proofErr w:type="gramStart"/>
      <w:r w:rsidR="005F7D9B" w:rsidRPr="00793EA7">
        <w:rPr>
          <w:color w:val="auto"/>
        </w:rPr>
        <w:t xml:space="preserve">предоставляют </w:t>
      </w:r>
      <w:r w:rsidR="001A0654" w:rsidRPr="00793EA7">
        <w:rPr>
          <w:color w:val="auto"/>
        </w:rPr>
        <w:t xml:space="preserve">подтверждающие </w:t>
      </w:r>
      <w:r w:rsidR="00CE3046" w:rsidRPr="00793EA7">
        <w:rPr>
          <w:color w:val="auto"/>
        </w:rPr>
        <w:t>документы</w:t>
      </w:r>
      <w:proofErr w:type="gramEnd"/>
      <w:r w:rsidR="005F7D9B" w:rsidRPr="00793EA7">
        <w:rPr>
          <w:color w:val="auto"/>
        </w:rPr>
        <w:t xml:space="preserve"> в структурные подразделения. </w:t>
      </w:r>
      <w:r w:rsidR="00CE3046" w:rsidRPr="00793EA7">
        <w:rPr>
          <w:color w:val="auto"/>
        </w:rPr>
        <w:t xml:space="preserve">Призываю подразделения строго придерживаться сроков предоставления документов. Также хотелось бы напомнить о персональной ответственности </w:t>
      </w:r>
      <w:proofErr w:type="gramStart"/>
      <w:r w:rsidR="00CE3046" w:rsidRPr="00793EA7">
        <w:rPr>
          <w:color w:val="auto"/>
        </w:rPr>
        <w:t>заведующих кафедр</w:t>
      </w:r>
      <w:proofErr w:type="gramEnd"/>
      <w:r w:rsidR="00CE3046" w:rsidRPr="00793EA7">
        <w:rPr>
          <w:color w:val="auto"/>
        </w:rPr>
        <w:t xml:space="preserve"> за выполнение ИПРП </w:t>
      </w:r>
      <w:r w:rsidR="00CE3046" w:rsidRPr="00793EA7">
        <w:rPr>
          <w:color w:val="auto"/>
        </w:rPr>
        <w:lastRenderedPageBreak/>
        <w:t xml:space="preserve">преподавателей кафедры и достоверность данных рейтинга ППС. </w:t>
      </w:r>
      <w:r w:rsidR="00B430F2" w:rsidRPr="00793EA7">
        <w:rPr>
          <w:color w:val="auto"/>
        </w:rPr>
        <w:t xml:space="preserve">Только отдельные </w:t>
      </w:r>
      <w:proofErr w:type="gramStart"/>
      <w:r w:rsidR="00246C54" w:rsidRPr="00793EA7">
        <w:rPr>
          <w:color w:val="auto"/>
        </w:rPr>
        <w:t xml:space="preserve">заведующие </w:t>
      </w:r>
      <w:r w:rsidR="00B430F2" w:rsidRPr="00793EA7">
        <w:rPr>
          <w:color w:val="auto"/>
        </w:rPr>
        <w:t>кафедры</w:t>
      </w:r>
      <w:proofErr w:type="gramEnd"/>
      <w:r w:rsidR="00B430F2" w:rsidRPr="00793EA7">
        <w:rPr>
          <w:color w:val="auto"/>
        </w:rPr>
        <w:t xml:space="preserve"> (</w:t>
      </w:r>
      <w:proofErr w:type="spellStart"/>
      <w:r w:rsidR="00EB6107" w:rsidRPr="00793EA7">
        <w:rPr>
          <w:color w:val="auto"/>
        </w:rPr>
        <w:t>Фи</w:t>
      </w:r>
      <w:r w:rsidR="00B430F2" w:rsidRPr="00793EA7">
        <w:rPr>
          <w:color w:val="auto"/>
        </w:rPr>
        <w:t>БД</w:t>
      </w:r>
      <w:proofErr w:type="spellEnd"/>
      <w:r w:rsidR="00B430F2" w:rsidRPr="00793EA7">
        <w:rPr>
          <w:color w:val="auto"/>
        </w:rPr>
        <w:t xml:space="preserve">, </w:t>
      </w:r>
      <w:r w:rsidR="00EB6107" w:rsidRPr="00793EA7">
        <w:rPr>
          <w:color w:val="auto"/>
        </w:rPr>
        <w:t xml:space="preserve">экологии, иностранных языков, МТА, </w:t>
      </w:r>
      <w:r w:rsidR="00246C54" w:rsidRPr="00793EA7">
        <w:rPr>
          <w:color w:val="auto"/>
        </w:rPr>
        <w:t>ТППЖ) и ответственные за рейтинг (</w:t>
      </w:r>
      <w:proofErr w:type="spellStart"/>
      <w:r w:rsidR="00246C54" w:rsidRPr="00793EA7">
        <w:rPr>
          <w:color w:val="auto"/>
        </w:rPr>
        <w:t>ТЯиЛ-Досова</w:t>
      </w:r>
      <w:proofErr w:type="spellEnd"/>
      <w:r w:rsidR="00246C54" w:rsidRPr="00793EA7">
        <w:rPr>
          <w:color w:val="auto"/>
        </w:rPr>
        <w:t xml:space="preserve"> А.Т., психологии и педагогики-Пархоменко И.) подошли с определенной ответственностью к подведению итогов </w:t>
      </w:r>
      <w:r w:rsidR="00474ED6" w:rsidRPr="00793EA7">
        <w:rPr>
          <w:color w:val="auto"/>
        </w:rPr>
        <w:t xml:space="preserve">выполнения ИПРП и </w:t>
      </w:r>
      <w:r w:rsidR="00246C54" w:rsidRPr="00793EA7">
        <w:rPr>
          <w:color w:val="auto"/>
        </w:rPr>
        <w:t>рейтинга ППС  и кафедры.</w:t>
      </w:r>
    </w:p>
    <w:p w:rsidR="00E66534" w:rsidRPr="00793EA7" w:rsidRDefault="00B430F2" w:rsidP="007505E6">
      <w:pPr>
        <w:pStyle w:val="Default"/>
        <w:ind w:firstLine="708"/>
        <w:jc w:val="both"/>
        <w:rPr>
          <w:color w:val="auto"/>
        </w:rPr>
      </w:pPr>
      <w:r w:rsidRPr="00793EA7">
        <w:rPr>
          <w:color w:val="auto"/>
        </w:rPr>
        <w:t>Хотелось бы положительно отметить  работу</w:t>
      </w:r>
      <w:r w:rsidR="00CE3046" w:rsidRPr="00793EA7">
        <w:rPr>
          <w:color w:val="auto"/>
        </w:rPr>
        <w:t xml:space="preserve"> факультетских рейтинговых комиссий </w:t>
      </w:r>
      <w:r w:rsidRPr="00793EA7">
        <w:rPr>
          <w:color w:val="auto"/>
        </w:rPr>
        <w:t xml:space="preserve"> </w:t>
      </w:r>
      <w:proofErr w:type="gramStart"/>
      <w:r w:rsidRPr="00793EA7">
        <w:rPr>
          <w:color w:val="auto"/>
        </w:rPr>
        <w:t>аграрно-биологического</w:t>
      </w:r>
      <w:proofErr w:type="gramEnd"/>
      <w:r w:rsidR="00246C54" w:rsidRPr="00793EA7">
        <w:rPr>
          <w:color w:val="auto"/>
        </w:rPr>
        <w:t xml:space="preserve"> </w:t>
      </w:r>
      <w:r w:rsidRPr="00793EA7">
        <w:rPr>
          <w:color w:val="auto"/>
        </w:rPr>
        <w:t xml:space="preserve">и </w:t>
      </w:r>
      <w:proofErr w:type="spellStart"/>
      <w:r w:rsidRPr="00793EA7">
        <w:rPr>
          <w:color w:val="auto"/>
        </w:rPr>
        <w:t>гумманитарно</w:t>
      </w:r>
      <w:proofErr w:type="spellEnd"/>
      <w:r w:rsidRPr="00793EA7">
        <w:rPr>
          <w:color w:val="auto"/>
        </w:rPr>
        <w:t xml:space="preserve">-социального факультетов. </w:t>
      </w:r>
      <w:r w:rsidR="00EB6107" w:rsidRPr="00793EA7">
        <w:rPr>
          <w:color w:val="auto"/>
        </w:rPr>
        <w:t>Данные рейтинга ППС этих факультетов корректировались одновременно</w:t>
      </w:r>
      <w:r w:rsidR="00012BD5" w:rsidRPr="00793EA7">
        <w:rPr>
          <w:color w:val="auto"/>
        </w:rPr>
        <w:t xml:space="preserve">, </w:t>
      </w:r>
      <w:r w:rsidR="00474ED6" w:rsidRPr="00793EA7">
        <w:rPr>
          <w:color w:val="auto"/>
        </w:rPr>
        <w:t>а иногда</w:t>
      </w:r>
      <w:r w:rsidR="00012BD5" w:rsidRPr="00793EA7">
        <w:rPr>
          <w:color w:val="auto"/>
        </w:rPr>
        <w:t>,</w:t>
      </w:r>
      <w:r w:rsidR="00474ED6" w:rsidRPr="00793EA7">
        <w:rPr>
          <w:color w:val="auto"/>
        </w:rPr>
        <w:t xml:space="preserve"> и с опережением</w:t>
      </w:r>
      <w:r w:rsidR="00EB6107" w:rsidRPr="00793EA7">
        <w:rPr>
          <w:color w:val="auto"/>
        </w:rPr>
        <w:t xml:space="preserve"> с работой структурных подразделений. </w:t>
      </w:r>
      <w:r w:rsidR="00246C54" w:rsidRPr="00793EA7">
        <w:rPr>
          <w:color w:val="auto"/>
        </w:rPr>
        <w:t>Т</w:t>
      </w:r>
      <w:r w:rsidRPr="00793EA7">
        <w:rPr>
          <w:color w:val="auto"/>
        </w:rPr>
        <w:t xml:space="preserve">акже </w:t>
      </w:r>
      <w:r w:rsidR="00246C54" w:rsidRPr="00793EA7">
        <w:rPr>
          <w:color w:val="auto"/>
        </w:rPr>
        <w:t xml:space="preserve">необходимо отметить </w:t>
      </w:r>
      <w:r w:rsidRPr="00793EA7">
        <w:rPr>
          <w:color w:val="auto"/>
        </w:rPr>
        <w:t xml:space="preserve">работу ответственного за научную работу аграрно-биологического факультета </w:t>
      </w:r>
      <w:proofErr w:type="spellStart"/>
      <w:r w:rsidRPr="00793EA7">
        <w:rPr>
          <w:color w:val="auto"/>
        </w:rPr>
        <w:t>Екатеринской</w:t>
      </w:r>
      <w:proofErr w:type="spellEnd"/>
      <w:r w:rsidRPr="00793EA7">
        <w:rPr>
          <w:color w:val="auto"/>
        </w:rPr>
        <w:t xml:space="preserve"> Е.М., которая сдала все данные и подтверждающие документы </w:t>
      </w:r>
      <w:r w:rsidR="00246C54" w:rsidRPr="00793EA7">
        <w:rPr>
          <w:color w:val="auto"/>
        </w:rPr>
        <w:t xml:space="preserve">по науке </w:t>
      </w:r>
      <w:r w:rsidR="00EB6107" w:rsidRPr="00793EA7">
        <w:rPr>
          <w:color w:val="auto"/>
        </w:rPr>
        <w:t>своевременно</w:t>
      </w:r>
      <w:r w:rsidRPr="00793EA7">
        <w:rPr>
          <w:color w:val="auto"/>
        </w:rPr>
        <w:t xml:space="preserve">. </w:t>
      </w:r>
    </w:p>
    <w:p w:rsidR="003F32F5" w:rsidRPr="00793EA7" w:rsidRDefault="003F32F5" w:rsidP="003F32F5">
      <w:pPr>
        <w:ind w:firstLine="708"/>
        <w:jc w:val="both"/>
        <w:rPr>
          <w:sz w:val="24"/>
          <w:szCs w:val="24"/>
        </w:rPr>
      </w:pPr>
      <w:r w:rsidRPr="00793EA7">
        <w:rPr>
          <w:sz w:val="24"/>
          <w:szCs w:val="24"/>
        </w:rPr>
        <w:t>В целом, нужно отметить,  рейтинговая оценка деятельности значительно усилила  заинтересованность ППС в повышении качественных и количественных показателей своей работы, активиз</w:t>
      </w:r>
      <w:r w:rsidR="00D65223" w:rsidRPr="00793EA7">
        <w:rPr>
          <w:sz w:val="24"/>
          <w:szCs w:val="24"/>
        </w:rPr>
        <w:t>ировала</w:t>
      </w:r>
      <w:r w:rsidRPr="00793EA7">
        <w:rPr>
          <w:sz w:val="24"/>
          <w:szCs w:val="24"/>
        </w:rPr>
        <w:t xml:space="preserve"> деятельност</w:t>
      </w:r>
      <w:r w:rsidR="00D65223" w:rsidRPr="00793EA7">
        <w:rPr>
          <w:sz w:val="24"/>
          <w:szCs w:val="24"/>
        </w:rPr>
        <w:t>ь</w:t>
      </w:r>
      <w:r w:rsidRPr="00793EA7">
        <w:rPr>
          <w:sz w:val="24"/>
          <w:szCs w:val="24"/>
        </w:rPr>
        <w:t xml:space="preserve"> </w:t>
      </w:r>
      <w:proofErr w:type="gramStart"/>
      <w:r w:rsidRPr="00793EA7">
        <w:rPr>
          <w:sz w:val="24"/>
          <w:szCs w:val="24"/>
        </w:rPr>
        <w:t>заведующих кафедр</w:t>
      </w:r>
      <w:proofErr w:type="gramEnd"/>
      <w:r w:rsidRPr="00793EA7">
        <w:rPr>
          <w:sz w:val="24"/>
          <w:szCs w:val="24"/>
        </w:rPr>
        <w:t>, деканов и их заместителей.</w:t>
      </w:r>
    </w:p>
    <w:p w:rsidR="006F7095" w:rsidRPr="00793EA7" w:rsidRDefault="00DF1E48" w:rsidP="00DF1E48">
      <w:pPr>
        <w:ind w:firstLine="708"/>
        <w:jc w:val="both"/>
        <w:rPr>
          <w:sz w:val="24"/>
          <w:szCs w:val="24"/>
        </w:rPr>
      </w:pPr>
      <w:r w:rsidRPr="00793EA7">
        <w:rPr>
          <w:sz w:val="24"/>
          <w:szCs w:val="24"/>
        </w:rPr>
        <w:t xml:space="preserve">Система рейтинговой оценки деятельности ППС и кафедр развивается в соответствии с Планом развития </w:t>
      </w:r>
      <w:r w:rsidR="00262BB0">
        <w:rPr>
          <w:sz w:val="24"/>
          <w:szCs w:val="24"/>
        </w:rPr>
        <w:t xml:space="preserve">КГУ им </w:t>
      </w:r>
      <w:proofErr w:type="spellStart"/>
      <w:r w:rsidR="00262BB0">
        <w:rPr>
          <w:sz w:val="24"/>
          <w:szCs w:val="24"/>
        </w:rPr>
        <w:t>А.Байтурсынова</w:t>
      </w:r>
      <w:proofErr w:type="spellEnd"/>
      <w:r w:rsidRPr="00793EA7">
        <w:rPr>
          <w:sz w:val="24"/>
          <w:szCs w:val="24"/>
        </w:rPr>
        <w:t xml:space="preserve"> на 2017-2021 годы. </w:t>
      </w:r>
      <w:r w:rsidR="003B72A6" w:rsidRPr="00793EA7">
        <w:rPr>
          <w:sz w:val="24"/>
          <w:szCs w:val="24"/>
        </w:rPr>
        <w:t xml:space="preserve">На основании письма МОН РК скорректирован раздел задачи и ключевые показатели </w:t>
      </w:r>
      <w:r w:rsidRPr="00793EA7">
        <w:rPr>
          <w:sz w:val="24"/>
          <w:szCs w:val="24"/>
        </w:rPr>
        <w:t xml:space="preserve">Плана. В Положение «Планирование деятельности ППС и рейтинг преподавателей, кафедр и факультетов» внесены соответствующие изменения и дополнения. Структурными подразделениями университета выданы плановые задания на факультеты. Главными задачами </w:t>
      </w:r>
      <w:r w:rsidR="00F120F8" w:rsidRPr="00793EA7">
        <w:rPr>
          <w:sz w:val="24"/>
          <w:szCs w:val="24"/>
        </w:rPr>
        <w:t>по-прежнему</w:t>
      </w:r>
      <w:r w:rsidR="003F32F5" w:rsidRPr="00793EA7">
        <w:rPr>
          <w:sz w:val="24"/>
          <w:szCs w:val="24"/>
        </w:rPr>
        <w:t xml:space="preserve"> </w:t>
      </w:r>
      <w:r w:rsidRPr="00793EA7">
        <w:rPr>
          <w:sz w:val="24"/>
          <w:szCs w:val="24"/>
        </w:rPr>
        <w:t xml:space="preserve">остаются поддержание качества образования на заданном уровне, </w:t>
      </w:r>
      <w:r w:rsidR="003F32F5" w:rsidRPr="00793EA7">
        <w:rPr>
          <w:sz w:val="24"/>
          <w:szCs w:val="24"/>
        </w:rPr>
        <w:t xml:space="preserve">обеспечивающим конкурентоспособность выпускников, </w:t>
      </w:r>
      <w:r w:rsidRPr="00793EA7">
        <w:rPr>
          <w:sz w:val="24"/>
          <w:szCs w:val="24"/>
        </w:rPr>
        <w:t xml:space="preserve">создание благоприятных условий  </w:t>
      </w:r>
      <w:r w:rsidR="003F32F5" w:rsidRPr="00793EA7">
        <w:rPr>
          <w:sz w:val="24"/>
          <w:szCs w:val="24"/>
        </w:rPr>
        <w:t>и целесообразное использование ресурсов для обучающихся и сотрудников университета</w:t>
      </w:r>
      <w:r w:rsidRPr="00793EA7">
        <w:rPr>
          <w:sz w:val="24"/>
          <w:szCs w:val="24"/>
        </w:rPr>
        <w:t>, стимулирование профессорско-преподавательского состава на постоянное развитие и совершенствование</w:t>
      </w:r>
      <w:r w:rsidR="003F32F5" w:rsidRPr="00793EA7">
        <w:rPr>
          <w:sz w:val="24"/>
          <w:szCs w:val="24"/>
        </w:rPr>
        <w:t>.</w:t>
      </w:r>
    </w:p>
    <w:p w:rsidR="00E63E1B" w:rsidRPr="00194E1B" w:rsidRDefault="00E63E1B" w:rsidP="00532F0F">
      <w:pPr>
        <w:ind w:firstLine="709"/>
        <w:jc w:val="both"/>
        <w:rPr>
          <w:sz w:val="28"/>
          <w:szCs w:val="28"/>
        </w:rPr>
      </w:pPr>
    </w:p>
    <w:p w:rsidR="00E63E1B" w:rsidRPr="00194E1B" w:rsidRDefault="00E63E1B" w:rsidP="00532F0F">
      <w:pPr>
        <w:ind w:firstLine="709"/>
        <w:jc w:val="both"/>
        <w:rPr>
          <w:sz w:val="28"/>
          <w:szCs w:val="28"/>
        </w:rPr>
      </w:pPr>
    </w:p>
    <w:p w:rsidR="00571E25" w:rsidRDefault="00571E25" w:rsidP="00532F0F">
      <w:pPr>
        <w:ind w:firstLine="709"/>
        <w:jc w:val="both"/>
        <w:rPr>
          <w:sz w:val="28"/>
          <w:szCs w:val="28"/>
        </w:rPr>
      </w:pPr>
      <w:r w:rsidRPr="00194E1B">
        <w:rPr>
          <w:sz w:val="28"/>
          <w:szCs w:val="28"/>
        </w:rPr>
        <w:t xml:space="preserve">Главный специалист </w:t>
      </w:r>
      <w:proofErr w:type="spellStart"/>
      <w:r w:rsidR="00194E1B" w:rsidRPr="00194E1B">
        <w:rPr>
          <w:sz w:val="28"/>
          <w:szCs w:val="28"/>
        </w:rPr>
        <w:t>УНиПО</w:t>
      </w:r>
      <w:proofErr w:type="spellEnd"/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r w:rsidRPr="00194E1B">
        <w:rPr>
          <w:sz w:val="28"/>
          <w:szCs w:val="28"/>
        </w:rPr>
        <w:tab/>
      </w:r>
      <w:proofErr w:type="spellStart"/>
      <w:r w:rsidRPr="00194E1B">
        <w:rPr>
          <w:sz w:val="28"/>
          <w:szCs w:val="28"/>
        </w:rPr>
        <w:t>Г.Исмаилова</w:t>
      </w:r>
      <w:proofErr w:type="spellEnd"/>
    </w:p>
    <w:p w:rsidR="00262BB0" w:rsidRDefault="00262BB0" w:rsidP="00532F0F">
      <w:pPr>
        <w:ind w:firstLine="709"/>
        <w:jc w:val="both"/>
        <w:rPr>
          <w:sz w:val="28"/>
          <w:szCs w:val="28"/>
        </w:rPr>
      </w:pPr>
    </w:p>
    <w:p w:rsidR="00262BB0" w:rsidRDefault="00262BB0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62BB0" w:rsidRDefault="00262BB0" w:rsidP="00532F0F">
      <w:pPr>
        <w:ind w:firstLine="709"/>
        <w:jc w:val="both"/>
        <w:rPr>
          <w:sz w:val="28"/>
          <w:szCs w:val="28"/>
        </w:rPr>
      </w:pPr>
    </w:p>
    <w:p w:rsidR="00262BB0" w:rsidRPr="00194E1B" w:rsidRDefault="00262BB0" w:rsidP="00532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Ф.Майер</w:t>
      </w:r>
      <w:proofErr w:type="spellEnd"/>
    </w:p>
    <w:sectPr w:rsidR="00262BB0" w:rsidRPr="00194E1B" w:rsidSect="001F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5E6"/>
    <w:rsid w:val="00007963"/>
    <w:rsid w:val="00012BD5"/>
    <w:rsid w:val="000242F1"/>
    <w:rsid w:val="00031A6C"/>
    <w:rsid w:val="00033193"/>
    <w:rsid w:val="00040CBF"/>
    <w:rsid w:val="00075048"/>
    <w:rsid w:val="000860DF"/>
    <w:rsid w:val="000A2C19"/>
    <w:rsid w:val="000A520F"/>
    <w:rsid w:val="000B3BFE"/>
    <w:rsid w:val="00111080"/>
    <w:rsid w:val="00111CE8"/>
    <w:rsid w:val="001219D7"/>
    <w:rsid w:val="00150C55"/>
    <w:rsid w:val="0017550C"/>
    <w:rsid w:val="00175A6D"/>
    <w:rsid w:val="00194392"/>
    <w:rsid w:val="00194E1B"/>
    <w:rsid w:val="001A0654"/>
    <w:rsid w:val="001C67B5"/>
    <w:rsid w:val="001F4832"/>
    <w:rsid w:val="001F79B1"/>
    <w:rsid w:val="001F7FDE"/>
    <w:rsid w:val="00246C54"/>
    <w:rsid w:val="00253937"/>
    <w:rsid w:val="00262BB0"/>
    <w:rsid w:val="002774AC"/>
    <w:rsid w:val="002C4535"/>
    <w:rsid w:val="002E2368"/>
    <w:rsid w:val="002E3151"/>
    <w:rsid w:val="00314653"/>
    <w:rsid w:val="00366C4B"/>
    <w:rsid w:val="003A1831"/>
    <w:rsid w:val="003B72A6"/>
    <w:rsid w:val="003E388E"/>
    <w:rsid w:val="003F32F5"/>
    <w:rsid w:val="00405522"/>
    <w:rsid w:val="00405CF5"/>
    <w:rsid w:val="00425863"/>
    <w:rsid w:val="0044400D"/>
    <w:rsid w:val="0046522D"/>
    <w:rsid w:val="00474ED6"/>
    <w:rsid w:val="00475286"/>
    <w:rsid w:val="00484D3D"/>
    <w:rsid w:val="004973CE"/>
    <w:rsid w:val="004B7618"/>
    <w:rsid w:val="004C7ABF"/>
    <w:rsid w:val="004E5839"/>
    <w:rsid w:val="00522FBF"/>
    <w:rsid w:val="00532F0F"/>
    <w:rsid w:val="00533A16"/>
    <w:rsid w:val="005430D3"/>
    <w:rsid w:val="0054340C"/>
    <w:rsid w:val="00560988"/>
    <w:rsid w:val="00561A56"/>
    <w:rsid w:val="00571E25"/>
    <w:rsid w:val="005A4257"/>
    <w:rsid w:val="005D43C4"/>
    <w:rsid w:val="005F0D2A"/>
    <w:rsid w:val="005F4853"/>
    <w:rsid w:val="005F7D9B"/>
    <w:rsid w:val="0062052D"/>
    <w:rsid w:val="006237F4"/>
    <w:rsid w:val="00624772"/>
    <w:rsid w:val="00656298"/>
    <w:rsid w:val="0068436C"/>
    <w:rsid w:val="006E259B"/>
    <w:rsid w:val="006F7095"/>
    <w:rsid w:val="00704A2A"/>
    <w:rsid w:val="00704AC6"/>
    <w:rsid w:val="00713542"/>
    <w:rsid w:val="007266D0"/>
    <w:rsid w:val="007505E6"/>
    <w:rsid w:val="00793EA7"/>
    <w:rsid w:val="0079523F"/>
    <w:rsid w:val="007A125F"/>
    <w:rsid w:val="007E7066"/>
    <w:rsid w:val="008002A5"/>
    <w:rsid w:val="00816F30"/>
    <w:rsid w:val="008636D2"/>
    <w:rsid w:val="00864D8E"/>
    <w:rsid w:val="008B57A5"/>
    <w:rsid w:val="008F7985"/>
    <w:rsid w:val="00916056"/>
    <w:rsid w:val="00936F8F"/>
    <w:rsid w:val="00966933"/>
    <w:rsid w:val="009D49AF"/>
    <w:rsid w:val="009E730B"/>
    <w:rsid w:val="00A344FF"/>
    <w:rsid w:val="00A52528"/>
    <w:rsid w:val="00A5289C"/>
    <w:rsid w:val="00A7385C"/>
    <w:rsid w:val="00AA14C0"/>
    <w:rsid w:val="00AD1E4C"/>
    <w:rsid w:val="00AE6A5E"/>
    <w:rsid w:val="00B34958"/>
    <w:rsid w:val="00B430F2"/>
    <w:rsid w:val="00B65C4A"/>
    <w:rsid w:val="00B77AC2"/>
    <w:rsid w:val="00B84106"/>
    <w:rsid w:val="00BA7FBF"/>
    <w:rsid w:val="00BC475E"/>
    <w:rsid w:val="00C018BD"/>
    <w:rsid w:val="00C60B80"/>
    <w:rsid w:val="00C619C0"/>
    <w:rsid w:val="00C626E0"/>
    <w:rsid w:val="00C700E7"/>
    <w:rsid w:val="00CA6502"/>
    <w:rsid w:val="00CA682C"/>
    <w:rsid w:val="00CC1ADF"/>
    <w:rsid w:val="00CE3046"/>
    <w:rsid w:val="00D10CDD"/>
    <w:rsid w:val="00D16660"/>
    <w:rsid w:val="00D65223"/>
    <w:rsid w:val="00D70789"/>
    <w:rsid w:val="00D96E1C"/>
    <w:rsid w:val="00DD3FED"/>
    <w:rsid w:val="00DF1E48"/>
    <w:rsid w:val="00E011C2"/>
    <w:rsid w:val="00E024DB"/>
    <w:rsid w:val="00E63E1B"/>
    <w:rsid w:val="00E66534"/>
    <w:rsid w:val="00E8100F"/>
    <w:rsid w:val="00E83161"/>
    <w:rsid w:val="00E916FA"/>
    <w:rsid w:val="00EB6107"/>
    <w:rsid w:val="00EE1E37"/>
    <w:rsid w:val="00EF061C"/>
    <w:rsid w:val="00EF0D12"/>
    <w:rsid w:val="00F04BDD"/>
    <w:rsid w:val="00F120F8"/>
    <w:rsid w:val="00F12470"/>
    <w:rsid w:val="00F16548"/>
    <w:rsid w:val="00F24805"/>
    <w:rsid w:val="00F82106"/>
    <w:rsid w:val="00F922D1"/>
    <w:rsid w:val="00FB19B3"/>
    <w:rsid w:val="00FC1DFE"/>
    <w:rsid w:val="00FC6B75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link w:val="10"/>
    <w:uiPriority w:val="9"/>
    <w:qFormat/>
    <w:rsid w:val="00C60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5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048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C6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EF0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link w:val="10"/>
    <w:uiPriority w:val="9"/>
    <w:qFormat/>
    <w:rsid w:val="00C60B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5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505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7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505E6"/>
  </w:style>
  <w:style w:type="character" w:styleId="a5">
    <w:name w:val="Strong"/>
    <w:basedOn w:val="a0"/>
    <w:qFormat/>
    <w:rsid w:val="007505E6"/>
    <w:rPr>
      <w:b/>
      <w:bCs/>
    </w:rPr>
  </w:style>
  <w:style w:type="character" w:customStyle="1" w:styleId="s0">
    <w:name w:val="s0"/>
    <w:basedOn w:val="a0"/>
    <w:rsid w:val="00522FBF"/>
  </w:style>
  <w:style w:type="table" w:styleId="a6">
    <w:name w:val="Table Grid"/>
    <w:basedOn w:val="a1"/>
    <w:uiPriority w:val="59"/>
    <w:rsid w:val="0042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50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048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C60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6;&#1077;&#1081;&#1090;&#1080;&#1085;&#1075;%20&#1055;&#1055;&#1057;%20&#1080;%20&#1082;&#1072;&#1092;&#1077;&#1076;&#1088;\&#1048;&#1090;&#1086;&#1075;&#1080;%20&#1088;&#1077;&#1081;&#1090;&#1080;&#1085;&#1075;&#1072;%20&#1055;&#1055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6;&#1077;&#1081;&#1090;&#1080;&#1085;&#1075;%20&#1055;&#1055;&#1057;%20&#1080;%20&#1082;&#1072;&#1092;&#1077;&#1076;&#1088;\&#1048;&#1090;&#1086;&#1075;&#1080;%20&#1088;&#1077;&#1081;&#1090;&#1080;&#1085;&#1075;&#1072;%20&#1055;&#1055;&#105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gu%20-1\Desktop\&#1056;&#1077;&#1081;&#1090;&#1080;&#1085;&#1075;%20&#1055;&#1055;&#1057;%20&#1080;%20&#1082;&#1072;&#1092;&#1077;&#1076;&#1088;\&#1048;&#1090;&#1086;&#1075;&#1080;%20&#1088;&#1077;&#1081;&#1090;&#1080;&#1085;&#1075;&#1072;%20&#1055;&#1055;&#105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7;&#1081;&#1090;&#1080;&#1085;&#1075;%20&#1055;&#1055;&#1057;%20&#1080;%20&#1082;&#1072;&#1092;&#1077;&#1076;&#1088;\&#1048;&#1090;&#1086;&#1075;&#1080;%20&#1088;&#1077;&#1081;&#1090;&#1080;&#1085;&#1075;&#1072;%20&#1055;&#1055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Лист3!$C$3:$C$5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Лист3!$D$3:$D$5</c:f>
              <c:numCache>
                <c:formatCode>General</c:formatCode>
                <c:ptCount val="3"/>
                <c:pt idx="0">
                  <c:v>4040</c:v>
                </c:pt>
                <c:pt idx="1">
                  <c:v>8530</c:v>
                </c:pt>
                <c:pt idx="2">
                  <c:v>850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Лист2!$B$3:$B$5</c:f>
              <c:strCache>
                <c:ptCount val="3"/>
                <c:pt idx="0">
                  <c:v>Учебно-методическая работа</c:v>
                </c:pt>
                <c:pt idx="1">
                  <c:v>Научная работа</c:v>
                </c:pt>
                <c:pt idx="2">
                  <c:v>Воспитательная работа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234112</c:v>
                </c:pt>
                <c:pt idx="1">
                  <c:v>265280</c:v>
                </c:pt>
                <c:pt idx="2">
                  <c:v>6250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Лист2!$B$12:$B$17</c:f>
              <c:strCache>
                <c:ptCount val="6"/>
                <c:pt idx="0">
                  <c:v>Повышение квалификации </c:v>
                </c:pt>
                <c:pt idx="1">
                  <c:v>Издание учебников и УМП</c:v>
                </c:pt>
                <c:pt idx="2">
                  <c:v>ЭУИ и видеолекции</c:v>
                </c:pt>
                <c:pt idx="3">
                  <c:v>Полиязычное обучение</c:v>
                </c:pt>
                <c:pt idx="4">
                  <c:v>Образовательные услуги</c:v>
                </c:pt>
                <c:pt idx="5">
                  <c:v>Другое </c:v>
                </c:pt>
              </c:strCache>
            </c:strRef>
          </c:cat>
          <c:val>
            <c:numRef>
              <c:f>Лист2!$C$12:$C$17</c:f>
              <c:numCache>
                <c:formatCode>General</c:formatCode>
                <c:ptCount val="6"/>
                <c:pt idx="0">
                  <c:v>135338</c:v>
                </c:pt>
                <c:pt idx="1">
                  <c:v>39984</c:v>
                </c:pt>
                <c:pt idx="2">
                  <c:v>18570</c:v>
                </c:pt>
                <c:pt idx="3">
                  <c:v>3300</c:v>
                </c:pt>
                <c:pt idx="4">
                  <c:v>3370</c:v>
                </c:pt>
                <c:pt idx="5">
                  <c:v>33550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Лист3!$C$4:$C$14</c:f>
              <c:strCache>
                <c:ptCount val="11"/>
                <c:pt idx="0">
                  <c:v>Проекты МОН</c:v>
                </c:pt>
                <c:pt idx="1">
                  <c:v>Инициативные темы</c:v>
                </c:pt>
                <c:pt idx="2">
                  <c:v>Монографии</c:v>
                </c:pt>
                <c:pt idx="3">
                  <c:v>Статьи с импакт фактором</c:v>
                </c:pt>
                <c:pt idx="4">
                  <c:v>Статьи в журналах ККСОН</c:v>
                </c:pt>
                <c:pt idx="5">
                  <c:v>Статьи в журналах 3i</c:v>
                </c:pt>
                <c:pt idx="6">
                  <c:v>ГЧП</c:v>
                </c:pt>
                <c:pt idx="7">
                  <c:v>Подготовка призеров</c:v>
                </c:pt>
                <c:pt idx="8">
                  <c:v>Патенты и св-ва интел.собст.</c:v>
                </c:pt>
                <c:pt idx="9">
                  <c:v>Международные проекты</c:v>
                </c:pt>
                <c:pt idx="10">
                  <c:v>другое</c:v>
                </c:pt>
              </c:strCache>
            </c:strRef>
          </c:cat>
          <c:val>
            <c:numRef>
              <c:f>Лист3!$D$4:$D$14</c:f>
              <c:numCache>
                <c:formatCode>General</c:formatCode>
                <c:ptCount val="11"/>
                <c:pt idx="0">
                  <c:v>10170</c:v>
                </c:pt>
                <c:pt idx="1">
                  <c:v>4550</c:v>
                </c:pt>
                <c:pt idx="2">
                  <c:v>9164</c:v>
                </c:pt>
                <c:pt idx="3">
                  <c:v>98676</c:v>
                </c:pt>
                <c:pt idx="4">
                  <c:v>39387</c:v>
                </c:pt>
                <c:pt idx="5">
                  <c:v>12075</c:v>
                </c:pt>
                <c:pt idx="6">
                  <c:v>10844</c:v>
                </c:pt>
                <c:pt idx="7">
                  <c:v>54600</c:v>
                </c:pt>
                <c:pt idx="8">
                  <c:v>6100</c:v>
                </c:pt>
                <c:pt idx="9">
                  <c:v>5214</c:v>
                </c:pt>
                <c:pt idx="10">
                  <c:v>14500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 -1</dc:creator>
  <cp:lastModifiedBy>kgu -1</cp:lastModifiedBy>
  <cp:revision>70</cp:revision>
  <cp:lastPrinted>2018-10-01T08:29:00Z</cp:lastPrinted>
  <dcterms:created xsi:type="dcterms:W3CDTF">2018-01-03T03:42:00Z</dcterms:created>
  <dcterms:modified xsi:type="dcterms:W3CDTF">2018-10-01T12:01:00Z</dcterms:modified>
</cp:coreProperties>
</file>