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C1287" w:rsidTr="002D6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9"/>
              <w:spacing w:after="0" w:line="276" w:lineRule="auto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CC1287" w:rsidRDefault="00CC1287" w:rsidP="002D68AA">
            <w:pPr>
              <w:pStyle w:val="a9"/>
              <w:spacing w:after="0" w:line="276" w:lineRule="auto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CC1287" w:rsidRDefault="00CC1287" w:rsidP="002D68AA">
            <w:pPr>
              <w:pStyle w:val="a9"/>
              <w:spacing w:after="0" w:line="276" w:lineRule="auto"/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9"/>
              <w:spacing w:after="0" w:line="276" w:lineRule="auto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РГП «Костанайский государственный университет</w:t>
            </w:r>
          </w:p>
          <w:p w:rsidR="00CC1287" w:rsidRDefault="00CC1287" w:rsidP="002D68AA">
            <w:pPr>
              <w:pStyle w:val="a9"/>
              <w:spacing w:after="0" w:line="276" w:lineRule="auto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CC1287" w:rsidTr="002D6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9"/>
              <w:spacing w:after="0" w:line="276" w:lineRule="auto"/>
              <w:ind w:left="0"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9"/>
              <w:spacing w:after="0" w:line="276" w:lineRule="auto"/>
              <w:ind w:left="0"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CC1287" w:rsidTr="002D6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6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6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CC1287" w:rsidTr="002D6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6"/>
              <w:spacing w:line="276" w:lineRule="auto"/>
              <w:ind w:firstLine="425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6"/>
              <w:spacing w:line="276" w:lineRule="auto"/>
              <w:ind w:firstLine="425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CC1287" w:rsidTr="002D6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BC1D94" w:rsidP="002D68AA">
            <w:pPr>
              <w:pStyle w:val="a6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</w:t>
            </w:r>
            <w:r w:rsidR="00CC1287">
              <w:rPr>
                <w:rFonts w:ascii="Times New Roman" w:hAnsi="Times New Roman"/>
                <w:sz w:val="28"/>
                <w:szCs w:val="28"/>
              </w:rPr>
              <w:t>. 2017</w:t>
            </w:r>
            <w:r w:rsidR="00CC1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BC1D94" w:rsidP="002D68AA">
            <w:pPr>
              <w:pStyle w:val="a6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</w:t>
            </w:r>
            <w:bookmarkStart w:id="0" w:name="_GoBack"/>
            <w:bookmarkEnd w:id="0"/>
            <w:r w:rsidR="00CC1287">
              <w:rPr>
                <w:rFonts w:ascii="Times New Roman" w:hAnsi="Times New Roman"/>
                <w:sz w:val="28"/>
                <w:szCs w:val="28"/>
              </w:rPr>
              <w:t>. 2017</w:t>
            </w:r>
            <w:r w:rsidR="00CC1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CC1287" w:rsidTr="002D6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6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7" w:rsidRDefault="00CC1287" w:rsidP="002D68AA">
            <w:pPr>
              <w:pStyle w:val="a6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C1287" w:rsidRDefault="00CC1287" w:rsidP="00CC1287">
      <w:pPr>
        <w:spacing w:after="0" w:line="240" w:lineRule="auto"/>
        <w:ind w:firstLine="425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C1287" w:rsidRPr="00964994" w:rsidRDefault="00CC1287" w:rsidP="00CC1287">
      <w:pPr>
        <w:pStyle w:val="a3"/>
        <w:tabs>
          <w:tab w:val="left" w:pos="237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Содоклад</w:t>
      </w:r>
    </w:p>
    <w:p w:rsidR="00CC1287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287" w:rsidRPr="0069559B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4994">
        <w:rPr>
          <w:rFonts w:ascii="Times New Roman" w:hAnsi="Times New Roman" w:cs="Times New Roman"/>
          <w:b/>
          <w:i/>
          <w:sz w:val="28"/>
          <w:szCs w:val="28"/>
        </w:rPr>
        <w:t>О состоянии и перспективах хоздоговорной деятельности</w:t>
      </w:r>
      <w:r w:rsidR="006955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 университете</w:t>
      </w:r>
    </w:p>
    <w:p w:rsidR="002A268D" w:rsidRDefault="002A268D" w:rsidP="002A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3D" w:rsidRDefault="002A268D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с сельскохозяйственными формирован</w:t>
      </w:r>
      <w:r w:rsidR="00673B96">
        <w:rPr>
          <w:rFonts w:ascii="Times New Roman" w:hAnsi="Times New Roman" w:cs="Times New Roman"/>
          <w:sz w:val="28"/>
          <w:szCs w:val="28"/>
        </w:rPr>
        <w:t xml:space="preserve">иями </w:t>
      </w:r>
      <w:proofErr w:type="spellStart"/>
      <w:r w:rsidR="00673B9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7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73B9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proofErr w:type="gramEnd"/>
      <w:r w:rsidR="0067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областей</w:t>
      </w:r>
      <w:r w:rsidR="00BF033D">
        <w:rPr>
          <w:rFonts w:ascii="Times New Roman" w:hAnsi="Times New Roman" w:cs="Times New Roman"/>
          <w:sz w:val="28"/>
          <w:szCs w:val="28"/>
        </w:rPr>
        <w:t>.</w:t>
      </w:r>
    </w:p>
    <w:p w:rsidR="002A268D" w:rsidRDefault="00673B96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BF033D">
        <w:rPr>
          <w:rFonts w:ascii="Times New Roman" w:hAnsi="Times New Roman" w:cs="Times New Roman"/>
          <w:sz w:val="28"/>
          <w:szCs w:val="28"/>
        </w:rPr>
        <w:t>хоздоговорную деятельность по видам ее условно можно разделить на</w:t>
      </w:r>
      <w:r w:rsidR="002A268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F033D">
        <w:rPr>
          <w:rFonts w:ascii="Times New Roman" w:hAnsi="Times New Roman" w:cs="Times New Roman"/>
          <w:sz w:val="28"/>
          <w:szCs w:val="28"/>
        </w:rPr>
        <w:t>е</w:t>
      </w:r>
      <w:r w:rsidR="002A268D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2A268D" w:rsidRDefault="002A268D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научное сопровождение и оказание консалтинговых услуг</w:t>
      </w:r>
      <w:r w:rsidR="00BF033D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68D" w:rsidRDefault="002A268D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научно-исследовательских работ по государственной программе;</w:t>
      </w:r>
    </w:p>
    <w:p w:rsidR="002A268D" w:rsidRDefault="002A268D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50">
        <w:rPr>
          <w:rFonts w:ascii="Times New Roman" w:hAnsi="Times New Roman" w:cs="Times New Roman"/>
          <w:sz w:val="28"/>
          <w:szCs w:val="28"/>
        </w:rPr>
        <w:t xml:space="preserve">- </w:t>
      </w:r>
      <w:r w:rsidR="003B34E7">
        <w:rPr>
          <w:rFonts w:ascii="Times New Roman" w:hAnsi="Times New Roman" w:cs="Times New Roman"/>
          <w:sz w:val="28"/>
          <w:szCs w:val="28"/>
        </w:rPr>
        <w:t>лабораторные исследования</w:t>
      </w:r>
      <w:r w:rsidRPr="00224950">
        <w:rPr>
          <w:rFonts w:ascii="Times New Roman" w:hAnsi="Times New Roman" w:cs="Times New Roman"/>
          <w:sz w:val="28"/>
          <w:szCs w:val="28"/>
        </w:rPr>
        <w:t>.</w:t>
      </w:r>
    </w:p>
    <w:p w:rsidR="00224950" w:rsidRPr="004F5447" w:rsidRDefault="00224950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2015-2017 годы п</w:t>
      </w:r>
      <w:r w:rsidRPr="004F5447">
        <w:rPr>
          <w:rFonts w:ascii="Times New Roman" w:hAnsi="Times New Roman" w:cs="Times New Roman"/>
          <w:sz w:val="28"/>
          <w:szCs w:val="28"/>
        </w:rPr>
        <w:t>о экономическому факультету выполнен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447">
        <w:rPr>
          <w:rFonts w:ascii="Times New Roman" w:hAnsi="Times New Roman" w:cs="Times New Roman"/>
          <w:sz w:val="28"/>
          <w:szCs w:val="28"/>
        </w:rPr>
        <w:t xml:space="preserve"> работа по 4 хоздоговорным темам</w:t>
      </w:r>
      <w:r w:rsidR="007D6956">
        <w:rPr>
          <w:rFonts w:ascii="Times New Roman" w:hAnsi="Times New Roman" w:cs="Times New Roman"/>
          <w:sz w:val="28"/>
          <w:szCs w:val="28"/>
        </w:rPr>
        <w:t xml:space="preserve">, представленной в таблице 1. </w:t>
      </w:r>
      <w:proofErr w:type="gramEnd"/>
    </w:p>
    <w:p w:rsidR="00224950" w:rsidRPr="00673B96" w:rsidRDefault="00224950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>Таблица 1 – Выполнение научно-исследовательских и опытно-конструкторских работ на экономическом факультете за 2015-2017 годы</w:t>
      </w:r>
    </w:p>
    <w:tbl>
      <w:tblPr>
        <w:tblStyle w:val="a5"/>
        <w:tblW w:w="9585" w:type="dxa"/>
        <w:tblLook w:val="04A0" w:firstRow="1" w:lastRow="0" w:firstColumn="1" w:lastColumn="0" w:noHBand="0" w:noVBand="1"/>
      </w:tblPr>
      <w:tblGrid>
        <w:gridCol w:w="588"/>
        <w:gridCol w:w="3271"/>
        <w:gridCol w:w="1653"/>
        <w:gridCol w:w="2612"/>
        <w:gridCol w:w="1461"/>
      </w:tblGrid>
      <w:tr w:rsidR="00224950" w:rsidRPr="00AB3B76" w:rsidTr="00A3063F">
        <w:tc>
          <w:tcPr>
            <w:tcW w:w="588" w:type="dxa"/>
          </w:tcPr>
          <w:p w:rsidR="00224950" w:rsidRPr="00AB3B76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3B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B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1" w:type="dxa"/>
          </w:tcPr>
          <w:p w:rsidR="00224950" w:rsidRPr="00AB3B76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3" w:type="dxa"/>
          </w:tcPr>
          <w:p w:rsidR="00224950" w:rsidRPr="00AB3B76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12" w:type="dxa"/>
          </w:tcPr>
          <w:p w:rsidR="00224950" w:rsidRPr="00AB3B76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7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61" w:type="dxa"/>
          </w:tcPr>
          <w:p w:rsidR="00224950" w:rsidRPr="00AB3B76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224950" w:rsidRPr="00AB3B76" w:rsidTr="00A3063F">
        <w:tc>
          <w:tcPr>
            <w:tcW w:w="588" w:type="dxa"/>
          </w:tcPr>
          <w:p w:rsidR="00224950" w:rsidRPr="00AB3B7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24950" w:rsidRPr="00AB3B7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76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производства</w:t>
            </w:r>
          </w:p>
        </w:tc>
        <w:tc>
          <w:tcPr>
            <w:tcW w:w="1653" w:type="dxa"/>
          </w:tcPr>
          <w:p w:rsidR="00224950" w:rsidRPr="00AB3B7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К.Ж., Коваль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612" w:type="dxa"/>
          </w:tcPr>
          <w:p w:rsidR="00224950" w:rsidRPr="007D6956" w:rsidRDefault="00224950" w:rsidP="00224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ТОО «Женисбек»</w:t>
            </w:r>
            <w:r w:rsidRPr="007D6956">
              <w:rPr>
                <w:rFonts w:ascii="Times New Roman" w:hAnsi="Times New Roman" w:cs="Times New Roman"/>
                <w:sz w:val="24"/>
                <w:szCs w:val="24"/>
              </w:rPr>
              <w:t>1млн</w:t>
            </w:r>
            <w:proofErr w:type="gramStart"/>
            <w:r w:rsidRPr="007D69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6956">
              <w:rPr>
                <w:rFonts w:ascii="Times New Roman" w:hAnsi="Times New Roman" w:cs="Times New Roman"/>
                <w:sz w:val="24"/>
                <w:szCs w:val="24"/>
              </w:rPr>
              <w:t>енге</w:t>
            </w:r>
          </w:p>
        </w:tc>
        <w:tc>
          <w:tcPr>
            <w:tcW w:w="1461" w:type="dxa"/>
          </w:tcPr>
          <w:p w:rsidR="00224950" w:rsidRPr="00AB3B76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4950" w:rsidRPr="00AB3B76" w:rsidTr="00A3063F">
        <w:tc>
          <w:tcPr>
            <w:tcW w:w="588" w:type="dxa"/>
          </w:tcPr>
          <w:p w:rsidR="00224950" w:rsidRPr="00AB3B7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224950" w:rsidRPr="00AB3B7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сельхоз формирований и повышение устойчивости</w:t>
            </w:r>
          </w:p>
        </w:tc>
        <w:tc>
          <w:tcPr>
            <w:tcW w:w="1653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К.Ж., </w:t>
            </w:r>
          </w:p>
          <w:p w:rsidR="00224950" w:rsidRPr="00AB3B7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612" w:type="dxa"/>
          </w:tcPr>
          <w:p w:rsidR="00224950" w:rsidRPr="007D6956" w:rsidRDefault="00224950" w:rsidP="00072B53">
            <w:pPr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6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ТОО «</w:t>
            </w:r>
            <w:proofErr w:type="spellStart"/>
            <w:r w:rsidRPr="007D6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Мельпром</w:t>
            </w:r>
            <w:proofErr w:type="spellEnd"/>
            <w:r w:rsidRPr="007D6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24950" w:rsidRPr="007D695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56">
              <w:rPr>
                <w:rFonts w:ascii="Times New Roman" w:hAnsi="Times New Roman" w:cs="Times New Roman"/>
                <w:sz w:val="24"/>
                <w:szCs w:val="24"/>
              </w:rPr>
              <w:t>500 тыс. тенге</w:t>
            </w:r>
          </w:p>
        </w:tc>
        <w:tc>
          <w:tcPr>
            <w:tcW w:w="1461" w:type="dxa"/>
          </w:tcPr>
          <w:p w:rsidR="00224950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4950" w:rsidRPr="00AB3B76" w:rsidTr="00A3063F">
        <w:tc>
          <w:tcPr>
            <w:tcW w:w="588" w:type="dxa"/>
          </w:tcPr>
          <w:p w:rsidR="00224950" w:rsidRPr="00AB3B76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конкурентоспособных производств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653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А.П., Горелов А.Н.</w:t>
            </w:r>
          </w:p>
        </w:tc>
        <w:tc>
          <w:tcPr>
            <w:tcW w:w="2612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24950" w:rsidRDefault="00224950" w:rsidP="0022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тыс</w:t>
            </w:r>
            <w:r w:rsidR="00BF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 </w:t>
            </w:r>
          </w:p>
        </w:tc>
        <w:tc>
          <w:tcPr>
            <w:tcW w:w="1461" w:type="dxa"/>
          </w:tcPr>
          <w:p w:rsidR="00224950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950" w:rsidRPr="00AB3B76" w:rsidTr="00A3063F">
        <w:tc>
          <w:tcPr>
            <w:tcW w:w="588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предпринимательских инициатив студенческой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653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 А.П., Горелов А.Н.</w:t>
            </w:r>
          </w:p>
        </w:tc>
        <w:tc>
          <w:tcPr>
            <w:tcW w:w="2612" w:type="dxa"/>
          </w:tcPr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АО «Даму»</w:t>
            </w:r>
          </w:p>
          <w:p w:rsidR="00224950" w:rsidRDefault="00224950" w:rsidP="000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4950" w:rsidRDefault="00224950" w:rsidP="000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1344" w:rsidRDefault="00224950" w:rsidP="0067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научно-исследовательских и опытно-конструкторских работ на факультете ветеринарии и технологии животноводства за 2015-2017 годы</w:t>
      </w:r>
      <w:r w:rsidR="007D6956">
        <w:rPr>
          <w:rFonts w:ascii="Times New Roman" w:hAnsi="Times New Roman" w:cs="Times New Roman"/>
          <w:sz w:val="28"/>
          <w:szCs w:val="28"/>
        </w:rPr>
        <w:t xml:space="preserve"> представлено на графике 1-2.</w:t>
      </w:r>
      <w:r w:rsidR="00BF033D">
        <w:rPr>
          <w:rFonts w:ascii="Times New Roman" w:hAnsi="Times New Roman" w:cs="Times New Roman"/>
          <w:sz w:val="28"/>
          <w:szCs w:val="28"/>
        </w:rPr>
        <w:t xml:space="preserve"> </w:t>
      </w:r>
      <w:r w:rsidR="00C21344">
        <w:rPr>
          <w:rFonts w:ascii="Times New Roman" w:eastAsia="Times New Roman" w:hAnsi="Times New Roman" w:cs="Times New Roman"/>
          <w:sz w:val="28"/>
          <w:szCs w:val="28"/>
        </w:rPr>
        <w:t>Динамика осуществления хоздоговорной деятельности по годам представлена на графике 1-2.</w:t>
      </w:r>
    </w:p>
    <w:p w:rsidR="00CC6973" w:rsidRDefault="00CC6973" w:rsidP="00C2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44" w:rsidRDefault="00C21344" w:rsidP="002A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4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758" cy="1846922"/>
            <wp:effectExtent l="19050" t="0" r="27842" b="92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344" w:rsidRDefault="00C21344" w:rsidP="002A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D6" w:rsidRDefault="00AB28D6" w:rsidP="002A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EA1" w:rsidRPr="00673B96" w:rsidRDefault="00C21344" w:rsidP="002A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73B96">
        <w:rPr>
          <w:rFonts w:ascii="Times New Roman" w:eastAsia="Times New Roman" w:hAnsi="Times New Roman" w:cs="Times New Roman"/>
          <w:b/>
        </w:rPr>
        <w:t>Г</w:t>
      </w:r>
      <w:r w:rsidR="00DA0EA1" w:rsidRPr="00673B96">
        <w:rPr>
          <w:rFonts w:ascii="Times New Roman" w:eastAsia="Times New Roman" w:hAnsi="Times New Roman" w:cs="Times New Roman"/>
          <w:b/>
        </w:rPr>
        <w:t>рафик 1 – Количество предприятий, на базе которых проведена хоздоговорные работы за три года</w:t>
      </w:r>
    </w:p>
    <w:p w:rsidR="00DA0EA1" w:rsidRDefault="00DA0EA1" w:rsidP="002A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97" w:rsidRDefault="009B44C9" w:rsidP="002A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Наивысший показатель</w:t>
      </w:r>
      <w:r w:rsidR="002A268D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</w:rPr>
        <w:t>-2015</w:t>
      </w:r>
      <w:r w:rsidR="002A268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объясняется работой </w:t>
      </w:r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</w:t>
      </w:r>
      <w:r w:rsidR="002A268D" w:rsidRPr="00254C7E">
        <w:rPr>
          <w:rFonts w:ascii="Times New Roman" w:eastAsia="Times New Roman" w:hAnsi="Times New Roman" w:cs="Times New Roman"/>
          <w:sz w:val="28"/>
          <w:szCs w:val="28"/>
        </w:rPr>
        <w:t>программы 212 «Научные исследования и мероприятия в области агропромышленного комплекса»</w:t>
      </w:r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A268D">
        <w:rPr>
          <w:rFonts w:ascii="Times New Roman" w:eastAsia="Times New Roman" w:hAnsi="Times New Roman" w:cs="Times New Roman"/>
          <w:sz w:val="28"/>
          <w:szCs w:val="28"/>
        </w:rPr>
        <w:t xml:space="preserve">заключенных </w:t>
      </w:r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 xml:space="preserve">договоров  с </w:t>
      </w:r>
      <w:proofErr w:type="spellStart"/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>КазНИИЖиК</w:t>
      </w:r>
      <w:proofErr w:type="spellEnd"/>
      <w:r w:rsidR="002A268D" w:rsidRPr="007172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A268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A268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2A268D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="002A268D" w:rsidRPr="007172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>19/01 и 20/01 от 02 июня 2014 года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исследований</w:t>
      </w:r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 xml:space="preserve">было охвачено 34 хозяйства </w:t>
      </w:r>
      <w:proofErr w:type="spellStart"/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>Костанайской</w:t>
      </w:r>
      <w:proofErr w:type="spellEnd"/>
      <w:r w:rsidR="002A268D" w:rsidRPr="00B2026E">
        <w:rPr>
          <w:rFonts w:ascii="Times New Roman" w:eastAsia="Times New Roman" w:hAnsi="Times New Roman" w:cs="Times New Roman"/>
          <w:sz w:val="28"/>
          <w:szCs w:val="28"/>
        </w:rPr>
        <w:t xml:space="preserve"> и Северо-Казахстанской областей, из них  22 мясного и 12 молочного направления продуктивности</w:t>
      </w:r>
      <w:r w:rsidR="002A26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F97">
        <w:rPr>
          <w:rFonts w:ascii="Times New Roman" w:eastAsia="Times New Roman" w:hAnsi="Times New Roman" w:cs="Times New Roman"/>
          <w:sz w:val="28"/>
          <w:szCs w:val="28"/>
        </w:rPr>
        <w:t xml:space="preserve">Общая сумма </w:t>
      </w:r>
      <w:r w:rsidR="00BF033D">
        <w:rPr>
          <w:rFonts w:ascii="Times New Roman" w:eastAsia="Times New Roman" w:hAnsi="Times New Roman" w:cs="Times New Roman"/>
          <w:sz w:val="28"/>
          <w:szCs w:val="28"/>
        </w:rPr>
        <w:t xml:space="preserve">поступивших </w:t>
      </w:r>
      <w:r w:rsidR="00813F97">
        <w:rPr>
          <w:rFonts w:ascii="Times New Roman" w:eastAsia="Times New Roman" w:hAnsi="Times New Roman" w:cs="Times New Roman"/>
          <w:sz w:val="28"/>
          <w:szCs w:val="28"/>
        </w:rPr>
        <w:t xml:space="preserve">средств составила </w:t>
      </w:r>
      <w:r w:rsidR="00C2542B">
        <w:rPr>
          <w:rFonts w:ascii="Times New Roman" w:eastAsia="Times New Roman" w:hAnsi="Times New Roman" w:cs="Times New Roman"/>
          <w:sz w:val="28"/>
          <w:szCs w:val="28"/>
        </w:rPr>
        <w:t xml:space="preserve">32 165 107 </w:t>
      </w:r>
      <w:r w:rsidR="00813F97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9B44C9" w:rsidRDefault="009B44C9" w:rsidP="002A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813F97" w:rsidRPr="00B2026E">
        <w:rPr>
          <w:rFonts w:ascii="Times New Roman" w:eastAsia="Times New Roman" w:hAnsi="Times New Roman" w:cs="Times New Roman"/>
          <w:sz w:val="28"/>
          <w:szCs w:val="28"/>
        </w:rPr>
        <w:t xml:space="preserve">19/01 и 20/01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заключены на один год, соответственно, в 2015-2016 году наблюдается снижение количества хозяйств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полученных денежных средств. </w:t>
      </w:r>
      <w:r w:rsidR="007D69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3F97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C2542B">
        <w:rPr>
          <w:rFonts w:ascii="Times New Roman" w:eastAsia="Times New Roman" w:hAnsi="Times New Roman" w:cs="Times New Roman"/>
          <w:sz w:val="28"/>
          <w:szCs w:val="28"/>
        </w:rPr>
        <w:t>ий охват составил 20 хозяйств на</w:t>
      </w:r>
      <w:r w:rsidR="00813F97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C254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42B">
        <w:rPr>
          <w:rFonts w:ascii="Times New Roman" w:eastAsia="Times New Roman" w:hAnsi="Times New Roman" w:cs="Times New Roman"/>
          <w:sz w:val="28"/>
          <w:szCs w:val="28"/>
        </w:rPr>
        <w:t xml:space="preserve">11 711 218 </w:t>
      </w:r>
      <w:r w:rsidR="00813F97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1D2D3C" w:rsidRDefault="00813F97" w:rsidP="001D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</w:t>
      </w:r>
      <w:r w:rsidR="0085394E">
        <w:rPr>
          <w:rFonts w:ascii="Times New Roman" w:hAnsi="Times New Roman" w:cs="Times New Roman"/>
          <w:sz w:val="28"/>
          <w:szCs w:val="28"/>
        </w:rPr>
        <w:t xml:space="preserve">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научное сопровождение и оказание консалтинговых услуг в отрасли животноводства проводилось в </w:t>
      </w:r>
      <w:r w:rsidRPr="00C254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хозяйствах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B9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73B9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673B96">
        <w:rPr>
          <w:rFonts w:ascii="Times New Roman" w:hAnsi="Times New Roman" w:cs="Times New Roman"/>
          <w:sz w:val="28"/>
          <w:szCs w:val="28"/>
        </w:rPr>
        <w:t xml:space="preserve"> областей, из них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542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мясного направления, </w:t>
      </w:r>
      <w:r w:rsidR="00C254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3D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>хозяйствах молочного направления продуктивности.</w:t>
      </w:r>
      <w:r w:rsidR="00BF033D">
        <w:rPr>
          <w:rFonts w:ascii="Times New Roman" w:hAnsi="Times New Roman" w:cs="Times New Roman"/>
          <w:sz w:val="28"/>
          <w:szCs w:val="28"/>
        </w:rPr>
        <w:t xml:space="preserve"> </w:t>
      </w:r>
      <w:r w:rsidRPr="00B2026E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и обучающимися </w:t>
      </w:r>
      <w:r>
        <w:rPr>
          <w:rFonts w:ascii="Times New Roman" w:eastAsia="Times New Roman" w:hAnsi="Times New Roman" w:cs="Times New Roman"/>
          <w:sz w:val="28"/>
          <w:szCs w:val="28"/>
        </w:rPr>
        <w:t>кафедры технологии производства продуктов животноводства</w:t>
      </w:r>
      <w:r w:rsidRPr="00B2026E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</w:t>
      </w:r>
      <w:r w:rsidR="00673B9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научно-исследовательские работы</w:t>
      </w:r>
      <w:r w:rsidRPr="00B2026E">
        <w:rPr>
          <w:rFonts w:ascii="Times New Roman" w:eastAsia="Times New Roman" w:hAnsi="Times New Roman" w:cs="Times New Roman"/>
          <w:sz w:val="28"/>
          <w:szCs w:val="28"/>
        </w:rPr>
        <w:t xml:space="preserve"> с июня </w:t>
      </w:r>
      <w:r>
        <w:rPr>
          <w:rFonts w:ascii="Times New Roman" w:eastAsia="Times New Roman" w:hAnsi="Times New Roman" w:cs="Times New Roman"/>
          <w:sz w:val="28"/>
          <w:szCs w:val="28"/>
        </w:rPr>
        <w:t>2016 года</w:t>
      </w:r>
      <w:r w:rsidRPr="00B2026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Pr="00B2026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026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Общая сумма хоздоговорных тем составила </w:t>
      </w:r>
      <w:r w:rsidR="001D2D3C">
        <w:rPr>
          <w:rFonts w:ascii="Times New Roman" w:hAnsi="Times New Roman" w:cs="Times New Roman"/>
          <w:sz w:val="28"/>
          <w:szCs w:val="28"/>
        </w:rPr>
        <w:t>13 020 000 тенге</w:t>
      </w:r>
      <w:r w:rsidR="00C21344">
        <w:rPr>
          <w:rFonts w:ascii="Times New Roman" w:hAnsi="Times New Roman" w:cs="Times New Roman"/>
          <w:sz w:val="28"/>
          <w:szCs w:val="28"/>
        </w:rPr>
        <w:t>.</w:t>
      </w:r>
    </w:p>
    <w:p w:rsidR="00C21344" w:rsidRDefault="00C21344" w:rsidP="001D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44" w:rsidRDefault="00C21344" w:rsidP="00AB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34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29647" cy="1837593"/>
            <wp:effectExtent l="19050" t="0" r="2315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344" w:rsidRDefault="00C21344" w:rsidP="001D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44" w:rsidRDefault="00C21344" w:rsidP="00673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673B96">
        <w:rPr>
          <w:rFonts w:ascii="Times New Roman" w:eastAsia="Times New Roman" w:hAnsi="Times New Roman" w:cs="Times New Roman"/>
          <w:b/>
        </w:rPr>
        <w:t>График 2 – Динамика хоздоговорных средств по годам</w:t>
      </w:r>
    </w:p>
    <w:p w:rsidR="00673B96" w:rsidRPr="00673B96" w:rsidRDefault="00673B96" w:rsidP="00673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813F97" w:rsidRDefault="00813F97" w:rsidP="0067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2016 году впервые заключен трехсторонний договор Университет-Предприятие-Республиканская Палата по молочному скотоводству, что дало возможность ученым университета осуществлять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стандартов, шире использовать материально-техническую базу и представлять университет на республиканском уровне. </w:t>
      </w:r>
      <w:r w:rsidR="00673B9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создано АРМ лаборатории (автоматизированное рабочее место), откуда заносятся данные в республиканскую систему ИАС. Сотрудники кафедры неоднократно принимали участие в совещаниях, проводимых МСХ РК с привлечением ведущих ученых республики Казахстан.</w:t>
      </w:r>
    </w:p>
    <w:p w:rsidR="00DA0EA1" w:rsidRDefault="00DA0EA1" w:rsidP="0067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Преимуществом осуществления хоздоговорной деятельности являются:</w:t>
      </w:r>
    </w:p>
    <w:p w:rsidR="007619E7" w:rsidRDefault="007619E7" w:rsidP="0067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укрепление связи с предприятиями и работодателями;</w:t>
      </w:r>
    </w:p>
    <w:p w:rsidR="00DA0EA1" w:rsidRDefault="00DA0EA1" w:rsidP="0067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3B96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647A59">
        <w:rPr>
          <w:rFonts w:ascii="Times New Roman" w:eastAsia="Times New Roman" w:hAnsi="Times New Roman" w:cs="Times New Roman"/>
          <w:sz w:val="28"/>
          <w:szCs w:val="28"/>
        </w:rPr>
        <w:t>к научно-исследовательским работам обучающихся из числа студентов, магистрантов, докторантов</w:t>
      </w:r>
      <w:r w:rsidR="00224950">
        <w:rPr>
          <w:rFonts w:ascii="Times New Roman" w:eastAsia="Times New Roman" w:hAnsi="Times New Roman" w:cs="Times New Roman"/>
          <w:sz w:val="28"/>
          <w:szCs w:val="28"/>
        </w:rPr>
        <w:t>, что повышает уровень и качество</w:t>
      </w:r>
      <w:r w:rsidR="00647A59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кадров;</w:t>
      </w:r>
    </w:p>
    <w:p w:rsidR="00647A59" w:rsidRDefault="00647A59" w:rsidP="0067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4C7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7619E7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</w:t>
      </w:r>
      <w:r w:rsidR="00FA4C7B">
        <w:rPr>
          <w:rFonts w:ascii="Times New Roman" w:eastAsia="Times New Roman" w:hAnsi="Times New Roman" w:cs="Times New Roman"/>
          <w:sz w:val="28"/>
          <w:szCs w:val="28"/>
        </w:rPr>
        <w:t xml:space="preserve"> (созданные лаборатории в рамках ГПИИР-2),</w:t>
      </w:r>
      <w:r w:rsidR="0076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C7B">
        <w:rPr>
          <w:rFonts w:ascii="Times New Roman" w:eastAsia="Times New Roman" w:hAnsi="Times New Roman" w:cs="Times New Roman"/>
          <w:sz w:val="28"/>
          <w:szCs w:val="28"/>
        </w:rPr>
        <w:t xml:space="preserve">укрепление ее </w:t>
      </w:r>
      <w:r w:rsidR="007619E7">
        <w:rPr>
          <w:rFonts w:ascii="Times New Roman" w:eastAsia="Times New Roman" w:hAnsi="Times New Roman" w:cs="Times New Roman"/>
          <w:sz w:val="28"/>
          <w:szCs w:val="28"/>
        </w:rPr>
        <w:t>посредством приобретения оргтехники, расходных материалов, канцелярских товаров для использования в учебном процессе</w:t>
      </w:r>
      <w:r w:rsidR="00224950">
        <w:rPr>
          <w:rFonts w:ascii="Times New Roman" w:eastAsia="Times New Roman" w:hAnsi="Times New Roman" w:cs="Times New Roman"/>
          <w:sz w:val="28"/>
          <w:szCs w:val="28"/>
        </w:rPr>
        <w:t xml:space="preserve"> (График 3)</w:t>
      </w:r>
      <w:r w:rsidR="007619E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741E" w:rsidRDefault="00DE741E" w:rsidP="0067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получение дополнительного заработка сотрудниками и обучающимися.</w:t>
      </w:r>
    </w:p>
    <w:p w:rsidR="006A2229" w:rsidRDefault="00627312" w:rsidP="0062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3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5218" cy="2086854"/>
            <wp:effectExtent l="19050" t="0" r="21932" b="864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4950" w:rsidRPr="00673B96" w:rsidRDefault="00224950" w:rsidP="0062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3B96">
        <w:rPr>
          <w:rFonts w:ascii="Times New Roman" w:eastAsia="Times New Roman" w:hAnsi="Times New Roman" w:cs="Times New Roman"/>
          <w:b/>
        </w:rPr>
        <w:t xml:space="preserve">График 3 – </w:t>
      </w:r>
      <w:r w:rsidR="00DE741E" w:rsidRPr="00673B96">
        <w:rPr>
          <w:rFonts w:ascii="Times New Roman" w:eastAsia="Times New Roman" w:hAnsi="Times New Roman" w:cs="Times New Roman"/>
          <w:b/>
        </w:rPr>
        <w:t xml:space="preserve">Анализ приобретенных материальных средств </w:t>
      </w:r>
      <w:r w:rsidRPr="00673B96">
        <w:rPr>
          <w:rFonts w:ascii="Times New Roman" w:eastAsia="Times New Roman" w:hAnsi="Times New Roman" w:cs="Times New Roman"/>
          <w:b/>
        </w:rPr>
        <w:t>по годам</w:t>
      </w:r>
      <w:r w:rsidR="00DE741E" w:rsidRPr="00673B96">
        <w:rPr>
          <w:rFonts w:ascii="Times New Roman" w:eastAsia="Times New Roman" w:hAnsi="Times New Roman" w:cs="Times New Roman"/>
          <w:b/>
        </w:rPr>
        <w:t>, тенге</w:t>
      </w:r>
    </w:p>
    <w:p w:rsidR="00224950" w:rsidRDefault="00224950" w:rsidP="0081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50" w:rsidRDefault="00E77342" w:rsidP="0081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проведенных работ на кафедру были приобретены</w:t>
      </w:r>
      <w:r w:rsidR="00703663">
        <w:rPr>
          <w:rFonts w:ascii="Times New Roman" w:eastAsia="Times New Roman" w:hAnsi="Times New Roman" w:cs="Times New Roman"/>
          <w:sz w:val="28"/>
          <w:szCs w:val="28"/>
        </w:rPr>
        <w:t xml:space="preserve"> материальные средства, используемые в учебном процессе и при проведении научных исследований. </w:t>
      </w:r>
      <w:proofErr w:type="gramStart"/>
      <w:r w:rsidR="00703663">
        <w:rPr>
          <w:rFonts w:ascii="Times New Roman" w:eastAsia="Times New Roman" w:hAnsi="Times New Roman" w:cs="Times New Roman"/>
          <w:sz w:val="28"/>
          <w:szCs w:val="28"/>
        </w:rPr>
        <w:t>Сюда относятся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оргтехника (3 ноутбука, сканер, принтер, цифровая камера), </w:t>
      </w:r>
      <w:r w:rsidR="00703663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мерные инструменты, контейнеры </w:t>
      </w:r>
      <w:r w:rsidR="00703663">
        <w:rPr>
          <w:rFonts w:ascii="Times New Roman" w:eastAsia="Times New Roman" w:hAnsi="Times New Roman" w:cs="Times New Roman"/>
          <w:sz w:val="28"/>
          <w:szCs w:val="28"/>
        </w:rPr>
        <w:t>для транс</w:t>
      </w:r>
      <w:r>
        <w:rPr>
          <w:rFonts w:ascii="Times New Roman" w:eastAsia="Times New Roman" w:hAnsi="Times New Roman" w:cs="Times New Roman"/>
          <w:sz w:val="28"/>
          <w:szCs w:val="28"/>
        </w:rPr>
        <w:t>портирования молока,</w:t>
      </w:r>
      <w:r w:rsidR="00BF0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хладогенты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устройства для отбора средней пробы молока</w:t>
      </w:r>
      <w:r w:rsidR="00703663">
        <w:rPr>
          <w:rFonts w:ascii="Times New Roman" w:eastAsia="Times New Roman" w:hAnsi="Times New Roman" w:cs="Times New Roman"/>
          <w:sz w:val="28"/>
          <w:szCs w:val="28"/>
        </w:rPr>
        <w:t xml:space="preserve">, расходные материалы (пробирки, штативы, консервант), химические реактивы, лабораторная посуда и др. </w:t>
      </w:r>
      <w:proofErr w:type="gramEnd"/>
    </w:p>
    <w:p w:rsidR="00DA0EA1" w:rsidRDefault="007619E7" w:rsidP="0081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преимуществами выполнения хоздоговорной деятельности существуют и недостатки. </w:t>
      </w:r>
    </w:p>
    <w:p w:rsidR="00AB28D6" w:rsidRPr="00673B96" w:rsidRDefault="00144061" w:rsidP="00673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2CF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7A3F22" w:rsidRPr="007A3F22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F22" w:rsidRPr="007A3F22">
        <w:rPr>
          <w:rFonts w:ascii="Times New Roman" w:hAnsi="Times New Roman" w:cs="Times New Roman"/>
          <w:sz w:val="28"/>
          <w:szCs w:val="28"/>
        </w:rPr>
        <w:t xml:space="preserve">Отсутствие спроса со стороны предпринимателей ввиду их нестабильного финансового положения в условиях экономического кризиса в Казахстане; </w:t>
      </w:r>
    </w:p>
    <w:p w:rsidR="00BF033D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188">
        <w:rPr>
          <w:rFonts w:ascii="Times New Roman" w:hAnsi="Times New Roman" w:cs="Times New Roman"/>
          <w:sz w:val="28"/>
          <w:szCs w:val="28"/>
        </w:rPr>
        <w:t xml:space="preserve">Отсутствие координации и контроля со стороны университета. </w:t>
      </w:r>
      <w:r w:rsidR="0085394E" w:rsidRPr="007A3F22">
        <w:rPr>
          <w:rFonts w:ascii="Times New Roman" w:hAnsi="Times New Roman" w:cs="Times New Roman"/>
          <w:sz w:val="28"/>
          <w:szCs w:val="28"/>
        </w:rPr>
        <w:t xml:space="preserve">Работа по заключению и ведению хоздоговоров ведется на уровне кафедр и личных связей преподавателей, что несколько </w:t>
      </w:r>
      <w:r w:rsidR="00DE741E" w:rsidRPr="007A3F22">
        <w:rPr>
          <w:rFonts w:ascii="Times New Roman" w:hAnsi="Times New Roman" w:cs="Times New Roman"/>
          <w:sz w:val="28"/>
          <w:szCs w:val="28"/>
        </w:rPr>
        <w:t xml:space="preserve">снижает показатели хоздоговорной деятельности по </w:t>
      </w:r>
      <w:r w:rsidR="007A3F22" w:rsidRPr="007A3F22">
        <w:rPr>
          <w:rFonts w:ascii="Times New Roman" w:hAnsi="Times New Roman" w:cs="Times New Roman"/>
          <w:sz w:val="28"/>
          <w:szCs w:val="28"/>
        </w:rPr>
        <w:t>университету</w:t>
      </w:r>
      <w:r w:rsidR="00A07226">
        <w:rPr>
          <w:rFonts w:ascii="Times New Roman" w:hAnsi="Times New Roman" w:cs="Times New Roman"/>
          <w:sz w:val="28"/>
          <w:szCs w:val="28"/>
        </w:rPr>
        <w:t>, а также качество оказываемых услуг;</w:t>
      </w:r>
      <w:r w:rsidR="0085394E" w:rsidRPr="007A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22" w:rsidRPr="00673B96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033D" w:rsidRPr="00673B96">
        <w:rPr>
          <w:rFonts w:ascii="Times New Roman" w:hAnsi="Times New Roman" w:cs="Times New Roman"/>
          <w:sz w:val="28"/>
          <w:szCs w:val="28"/>
        </w:rPr>
        <w:t>Д</w:t>
      </w:r>
      <w:r w:rsidR="007A3F22" w:rsidRPr="00673B96">
        <w:rPr>
          <w:rFonts w:ascii="Times New Roman" w:hAnsi="Times New Roman" w:cs="Times New Roman"/>
          <w:sz w:val="28"/>
          <w:szCs w:val="28"/>
        </w:rPr>
        <w:t>лительная процедура согласования договора внутри университета: порядок, сроки и согласование цены при заключении договора на выполнение хоздоговорных исследований;</w:t>
      </w:r>
    </w:p>
    <w:p w:rsidR="00144061" w:rsidRPr="001B4A6C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741E">
        <w:rPr>
          <w:rFonts w:ascii="Times New Roman" w:hAnsi="Times New Roman" w:cs="Times New Roman"/>
          <w:sz w:val="28"/>
          <w:szCs w:val="28"/>
        </w:rPr>
        <w:t>В силу указанных причин, заказчикам</w:t>
      </w:r>
      <w:r w:rsidR="00144061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 xml:space="preserve">е соблюдаются </w:t>
      </w:r>
      <w:r w:rsidR="00144061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144061" w:rsidRPr="001B4A6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44061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85394E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proofErr w:type="gramStart"/>
      <w:r w:rsidR="00750EA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50EAE">
        <w:rPr>
          <w:rFonts w:ascii="Times New Roman" w:hAnsi="Times New Roman" w:cs="Times New Roman"/>
          <w:sz w:val="28"/>
          <w:szCs w:val="28"/>
        </w:rPr>
        <w:t xml:space="preserve"> заключенных договоров</w:t>
      </w:r>
      <w:r w:rsidR="0085394E">
        <w:rPr>
          <w:rFonts w:ascii="Times New Roman" w:hAnsi="Times New Roman" w:cs="Times New Roman"/>
          <w:sz w:val="28"/>
          <w:szCs w:val="28"/>
        </w:rPr>
        <w:t>;</w:t>
      </w:r>
    </w:p>
    <w:p w:rsidR="00C62003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>Одной из проблем при осуществлении бонитировки мясного скота явля</w:t>
      </w:r>
      <w:r w:rsidR="00C62003" w:rsidRPr="00C62003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 локализация (отдаленное расположение 100-150 км) гуртов от центральной территории хозяйств. Это затрудня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 работу бонитеров, т.к. треб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ых средств и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 времени для </w:t>
      </w:r>
      <w:r w:rsidR="00D9628D" w:rsidRPr="00C62003">
        <w:rPr>
          <w:rFonts w:ascii="Times New Roman" w:eastAsia="Times New Roman" w:hAnsi="Times New Roman" w:cs="Times New Roman"/>
          <w:sz w:val="28"/>
          <w:szCs w:val="28"/>
        </w:rPr>
        <w:t xml:space="preserve">перемещений 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на оценочный пункт, снабженный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расколом, фиксатором и весами. </w:t>
      </w:r>
      <w:r w:rsidR="00D41FEC" w:rsidRPr="00C62003">
        <w:rPr>
          <w:rFonts w:ascii="Times New Roman" w:eastAsia="Times New Roman" w:hAnsi="Times New Roman" w:cs="Times New Roman"/>
          <w:sz w:val="28"/>
          <w:szCs w:val="28"/>
        </w:rPr>
        <w:t xml:space="preserve">Данное условие </w:t>
      </w:r>
      <w:r w:rsidR="001C112F" w:rsidRPr="00C62003">
        <w:rPr>
          <w:rFonts w:ascii="Times New Roman" w:eastAsia="Times New Roman" w:hAnsi="Times New Roman" w:cs="Times New Roman"/>
          <w:sz w:val="28"/>
          <w:szCs w:val="28"/>
        </w:rPr>
        <w:t>связано с амортизацией транспорта</w:t>
      </w:r>
      <w:r w:rsidR="00C62003" w:rsidRPr="00C62003">
        <w:rPr>
          <w:rFonts w:ascii="Times New Roman" w:eastAsia="Times New Roman" w:hAnsi="Times New Roman" w:cs="Times New Roman"/>
          <w:sz w:val="28"/>
          <w:szCs w:val="28"/>
        </w:rPr>
        <w:t xml:space="preserve"> и расходами ГСМ</w:t>
      </w:r>
      <w:r w:rsidR="001C112F" w:rsidRPr="00C620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41FEC" w:rsidRPr="00C62003">
        <w:rPr>
          <w:rFonts w:ascii="Times New Roman" w:eastAsia="Times New Roman" w:hAnsi="Times New Roman" w:cs="Times New Roman"/>
          <w:sz w:val="28"/>
          <w:szCs w:val="28"/>
        </w:rPr>
        <w:t xml:space="preserve">не учитывается при выплате командировочных расходов </w:t>
      </w:r>
      <w:r w:rsidR="005C26D2" w:rsidRPr="00C62003">
        <w:rPr>
          <w:rFonts w:ascii="Times New Roman" w:eastAsia="Times New Roman" w:hAnsi="Times New Roman" w:cs="Times New Roman"/>
          <w:sz w:val="28"/>
          <w:szCs w:val="28"/>
        </w:rPr>
        <w:t xml:space="preserve">участникам рабочих групп. </w:t>
      </w:r>
    </w:p>
    <w:p w:rsidR="00144061" w:rsidRPr="00C62003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36CBD" w:rsidRPr="00C620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 xml:space="preserve"> ряде хозяй</w:t>
      </w:r>
      <w:proofErr w:type="gramStart"/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ств ск</w:t>
      </w:r>
      <w:proofErr w:type="gramEnd"/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от находит</w:t>
      </w:r>
      <w:r>
        <w:rPr>
          <w:rFonts w:ascii="Times New Roman" w:eastAsia="Times New Roman" w:hAnsi="Times New Roman" w:cs="Times New Roman"/>
          <w:sz w:val="28"/>
          <w:szCs w:val="28"/>
        </w:rPr>
        <w:t>ся на отгонных выпасах, куда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 перегоня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весной 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>и находи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>ся там до глубокой осени, пока не завершится убор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на прилегающих территориях. В связи с чем, сроки 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>проведения бонитировки приход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proofErr w:type="gramStart"/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сентября-</w:t>
      </w:r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proofErr w:type="gramEnd"/>
      <w:r w:rsidR="00144061" w:rsidRPr="00C62003">
        <w:rPr>
          <w:rFonts w:ascii="Times New Roman" w:eastAsia="Times New Roman" w:hAnsi="Times New Roman" w:cs="Times New Roman"/>
          <w:sz w:val="28"/>
          <w:szCs w:val="28"/>
        </w:rPr>
        <w:t xml:space="preserve"> октября, тогда как </w:t>
      </w:r>
      <w:r w:rsidR="00750EAE" w:rsidRPr="00C62003">
        <w:rPr>
          <w:rFonts w:ascii="Times New Roman" w:eastAsia="Times New Roman" w:hAnsi="Times New Roman" w:cs="Times New Roman"/>
          <w:sz w:val="28"/>
          <w:szCs w:val="28"/>
        </w:rPr>
        <w:t>в университете начинается учебный процесс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1FEC" w:rsidRPr="00C62003">
        <w:rPr>
          <w:rFonts w:ascii="Times New Roman" w:eastAsia="Times New Roman" w:hAnsi="Times New Roman" w:cs="Times New Roman"/>
          <w:sz w:val="28"/>
          <w:szCs w:val="28"/>
        </w:rPr>
        <w:t>В связи с указанными сроками с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оздаются трудности выезда</w:t>
      </w:r>
      <w:r w:rsidR="00C62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рабочих групп в хозяйства</w:t>
      </w:r>
      <w:r w:rsidR="00036CBD" w:rsidRPr="00C6200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EB6EDF" w:rsidRPr="00C62003">
        <w:rPr>
          <w:rFonts w:ascii="Times New Roman" w:eastAsia="Times New Roman" w:hAnsi="Times New Roman" w:cs="Times New Roman"/>
          <w:sz w:val="28"/>
          <w:szCs w:val="28"/>
        </w:rPr>
        <w:t xml:space="preserve">вызывает непонимание со стороны заказчиков и </w:t>
      </w:r>
      <w:r w:rsidR="00036CBD" w:rsidRPr="00C62003">
        <w:rPr>
          <w:rFonts w:ascii="Times New Roman" w:eastAsia="Times New Roman" w:hAnsi="Times New Roman" w:cs="Times New Roman"/>
          <w:sz w:val="28"/>
          <w:szCs w:val="28"/>
        </w:rPr>
        <w:t xml:space="preserve">отрицательно влияет на </w:t>
      </w:r>
      <w:r w:rsidR="00EB6EDF" w:rsidRPr="00C62003">
        <w:rPr>
          <w:rFonts w:ascii="Times New Roman" w:eastAsia="Times New Roman" w:hAnsi="Times New Roman" w:cs="Times New Roman"/>
          <w:sz w:val="28"/>
          <w:szCs w:val="28"/>
        </w:rPr>
        <w:t>проведении работ исполнителями</w:t>
      </w:r>
      <w:r w:rsidR="0085394E" w:rsidRPr="00C620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6EC9" w:rsidRPr="00DA2537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B6EC9">
        <w:rPr>
          <w:rFonts w:ascii="Times New Roman" w:eastAsia="Times New Roman" w:hAnsi="Times New Roman" w:cs="Times New Roman"/>
          <w:sz w:val="28"/>
          <w:szCs w:val="28"/>
        </w:rPr>
        <w:t>Не всегда к</w:t>
      </w:r>
      <w:r w:rsidR="00CB6EC9" w:rsidRPr="00CB6EC9">
        <w:rPr>
          <w:rFonts w:ascii="Times New Roman" w:eastAsia="Times New Roman" w:hAnsi="Times New Roman" w:cs="Times New Roman"/>
          <w:sz w:val="28"/>
          <w:szCs w:val="28"/>
        </w:rPr>
        <w:t>омандировочные расходы выплачиваются исполнителям</w:t>
      </w:r>
      <w:r w:rsidR="00CB6EC9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своевременно.</w:t>
      </w:r>
      <w:r w:rsidR="00C62003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62003">
        <w:rPr>
          <w:rFonts w:ascii="Times New Roman" w:eastAsia="Times New Roman" w:hAnsi="Times New Roman" w:cs="Times New Roman"/>
          <w:sz w:val="28"/>
          <w:szCs w:val="28"/>
        </w:rPr>
        <w:t>за чего,</w:t>
      </w:r>
      <w:r w:rsidR="00CB6EC9" w:rsidRPr="00CB6EC9">
        <w:rPr>
          <w:rFonts w:ascii="Times New Roman" w:eastAsia="Times New Roman" w:hAnsi="Times New Roman" w:cs="Times New Roman"/>
          <w:sz w:val="28"/>
          <w:szCs w:val="28"/>
        </w:rPr>
        <w:t xml:space="preserve"> членам рабочих групп приходится выезжать </w:t>
      </w:r>
      <w:r w:rsidR="00CB6EC9">
        <w:rPr>
          <w:rFonts w:ascii="Times New Roman" w:eastAsia="Times New Roman" w:hAnsi="Times New Roman" w:cs="Times New Roman"/>
          <w:sz w:val="28"/>
          <w:szCs w:val="28"/>
        </w:rPr>
        <w:t xml:space="preserve">в командировки </w:t>
      </w:r>
      <w:r w:rsidR="00CB6EC9" w:rsidRPr="00CB6EC9">
        <w:rPr>
          <w:rFonts w:ascii="Times New Roman" w:eastAsia="Times New Roman" w:hAnsi="Times New Roman" w:cs="Times New Roman"/>
          <w:sz w:val="28"/>
          <w:szCs w:val="28"/>
        </w:rPr>
        <w:t>за счет собственных средств</w:t>
      </w:r>
      <w:r w:rsidR="00A0697F">
        <w:rPr>
          <w:rFonts w:ascii="Times New Roman" w:eastAsia="Times New Roman" w:hAnsi="Times New Roman" w:cs="Times New Roman"/>
          <w:sz w:val="28"/>
          <w:szCs w:val="28"/>
        </w:rPr>
        <w:t xml:space="preserve">, деньги они получают позже, по </w:t>
      </w:r>
      <w:r w:rsidR="00A0697F" w:rsidRPr="00CB6EC9">
        <w:rPr>
          <w:rFonts w:ascii="Times New Roman" w:eastAsia="Times New Roman" w:hAnsi="Times New Roman" w:cs="Times New Roman"/>
          <w:sz w:val="28"/>
          <w:szCs w:val="28"/>
        </w:rPr>
        <w:t xml:space="preserve">возвращении </w:t>
      </w:r>
      <w:r w:rsidR="00A0697F">
        <w:rPr>
          <w:rFonts w:ascii="Times New Roman" w:eastAsia="Times New Roman" w:hAnsi="Times New Roman" w:cs="Times New Roman"/>
          <w:sz w:val="28"/>
          <w:szCs w:val="28"/>
        </w:rPr>
        <w:t>с командировок</w:t>
      </w:r>
      <w:r w:rsidR="00DA25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2003">
        <w:rPr>
          <w:rFonts w:ascii="Times New Roman" w:eastAsia="Times New Roman" w:hAnsi="Times New Roman" w:cs="Times New Roman"/>
          <w:sz w:val="28"/>
          <w:szCs w:val="28"/>
        </w:rPr>
        <w:t>На экономическом факультете и</w:t>
      </w:r>
      <w:r w:rsidR="00D9628D">
        <w:rPr>
          <w:rFonts w:ascii="Times New Roman" w:eastAsia="Times New Roman" w:hAnsi="Times New Roman" w:cs="Times New Roman"/>
          <w:sz w:val="28"/>
          <w:szCs w:val="28"/>
        </w:rPr>
        <w:t>меет место о</w:t>
      </w:r>
      <w:r w:rsidR="00DA2537" w:rsidRPr="00DA2537">
        <w:rPr>
          <w:rFonts w:ascii="Times New Roman" w:hAnsi="Times New Roman" w:cs="Times New Roman"/>
          <w:sz w:val="28"/>
          <w:szCs w:val="28"/>
        </w:rPr>
        <w:t>тсутствие своевременной оплаты непосредственно исполнителям</w:t>
      </w:r>
      <w:r w:rsidR="00CB6EC9" w:rsidRPr="00DA25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372" w:rsidRPr="00EA7372" w:rsidRDefault="00673B96" w:rsidP="00673B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B1AAC" w:rsidRPr="00F048BD">
        <w:rPr>
          <w:rFonts w:ascii="Times New Roman" w:eastAsia="Times New Roman" w:hAnsi="Times New Roman" w:cs="Times New Roman"/>
          <w:sz w:val="28"/>
          <w:szCs w:val="28"/>
        </w:rPr>
        <w:t>Не смотря на получение дополнительной оплаты, х</w:t>
      </w:r>
      <w:r w:rsidR="00036CBD" w:rsidRPr="00F048BD">
        <w:rPr>
          <w:rFonts w:ascii="Times New Roman" w:eastAsia="Times New Roman" w:hAnsi="Times New Roman" w:cs="Times New Roman"/>
          <w:sz w:val="28"/>
          <w:szCs w:val="28"/>
        </w:rPr>
        <w:t>оздоговорная работа требует больших усилий</w:t>
      </w:r>
      <w:r w:rsidR="00CB1AAC" w:rsidRPr="00F048BD">
        <w:rPr>
          <w:rFonts w:ascii="Times New Roman" w:eastAsia="Times New Roman" w:hAnsi="Times New Roman" w:cs="Times New Roman"/>
          <w:sz w:val="28"/>
          <w:szCs w:val="28"/>
        </w:rPr>
        <w:t xml:space="preserve"> и времени, начиная с </w:t>
      </w:r>
      <w:r w:rsidR="00F048BD">
        <w:rPr>
          <w:rFonts w:ascii="Times New Roman" w:eastAsia="Times New Roman" w:hAnsi="Times New Roman" w:cs="Times New Roman"/>
          <w:sz w:val="28"/>
          <w:szCs w:val="28"/>
        </w:rPr>
        <w:t>оформления командировок</w:t>
      </w:r>
      <w:r w:rsidR="00EB6EDF" w:rsidRPr="00F048BD">
        <w:rPr>
          <w:rFonts w:ascii="Times New Roman" w:eastAsia="Times New Roman" w:hAnsi="Times New Roman" w:cs="Times New Roman"/>
          <w:sz w:val="28"/>
          <w:szCs w:val="28"/>
        </w:rPr>
        <w:t xml:space="preserve"> и заканчивая </w:t>
      </w:r>
      <w:r w:rsidR="00F048BD">
        <w:rPr>
          <w:rFonts w:ascii="Times New Roman" w:eastAsia="Times New Roman" w:hAnsi="Times New Roman" w:cs="Times New Roman"/>
          <w:sz w:val="28"/>
          <w:szCs w:val="28"/>
        </w:rPr>
        <w:t xml:space="preserve">проведением самих работ и </w:t>
      </w:r>
      <w:r w:rsidR="00EB6EDF" w:rsidRPr="00F048BD">
        <w:rPr>
          <w:rFonts w:ascii="Times New Roman" w:eastAsia="Times New Roman" w:hAnsi="Times New Roman" w:cs="Times New Roman"/>
          <w:sz w:val="28"/>
          <w:szCs w:val="28"/>
        </w:rPr>
        <w:t xml:space="preserve">сдачей отчетной </w:t>
      </w:r>
      <w:r w:rsidR="00EB6EDF" w:rsidRPr="00F048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документации. </w:t>
      </w:r>
      <w:r w:rsidR="00D9628D">
        <w:rPr>
          <w:rFonts w:ascii="Times New Roman" w:eastAsia="Times New Roman" w:hAnsi="Times New Roman" w:cs="Times New Roman"/>
          <w:sz w:val="28"/>
          <w:szCs w:val="28"/>
        </w:rPr>
        <w:t>Наиболее трудоемкой отраслью является молочное скотоводство, где работы проводятся в течение</w:t>
      </w:r>
      <w:r w:rsidR="00C62003">
        <w:rPr>
          <w:rFonts w:ascii="Times New Roman" w:eastAsia="Times New Roman" w:hAnsi="Times New Roman" w:cs="Times New Roman"/>
          <w:sz w:val="28"/>
          <w:szCs w:val="28"/>
        </w:rPr>
        <w:t xml:space="preserve"> всего календарного</w:t>
      </w:r>
      <w:r w:rsidR="00D9628D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D9628D" w:rsidRPr="00F048BD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D9628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B6EDF" w:rsidRPr="00F048BD">
        <w:rPr>
          <w:rFonts w:ascii="Times New Roman" w:eastAsia="Times New Roman" w:hAnsi="Times New Roman" w:cs="Times New Roman"/>
          <w:sz w:val="28"/>
          <w:szCs w:val="28"/>
        </w:rPr>
        <w:t xml:space="preserve">ыполняя работы в молочных </w:t>
      </w:r>
      <w:proofErr w:type="gramStart"/>
      <w:r w:rsidR="00EB6EDF" w:rsidRPr="00F048BD">
        <w:rPr>
          <w:rFonts w:ascii="Times New Roman" w:eastAsia="Times New Roman" w:hAnsi="Times New Roman" w:cs="Times New Roman"/>
          <w:sz w:val="28"/>
          <w:szCs w:val="28"/>
        </w:rPr>
        <w:t>хозяйствах</w:t>
      </w:r>
      <w:proofErr w:type="gramEnd"/>
      <w:r w:rsidR="00EB6EDF" w:rsidRPr="00F048BD">
        <w:rPr>
          <w:rFonts w:ascii="Times New Roman" w:eastAsia="Times New Roman" w:hAnsi="Times New Roman" w:cs="Times New Roman"/>
          <w:sz w:val="28"/>
          <w:szCs w:val="28"/>
        </w:rPr>
        <w:t xml:space="preserve"> рабочие группы выезжают после обеда для того, чтобы попасть на вечернюю дойку, которая начинается в 17.00 </w:t>
      </w:r>
      <w:r w:rsidR="00F048BD" w:rsidRPr="00F048BD">
        <w:rPr>
          <w:rFonts w:ascii="Times New Roman" w:eastAsia="Times New Roman" w:hAnsi="Times New Roman" w:cs="Times New Roman"/>
          <w:sz w:val="28"/>
          <w:szCs w:val="28"/>
        </w:rPr>
        <w:t xml:space="preserve">вечера и заканчивается в 23.00 ночи. И наоборот, </w:t>
      </w:r>
      <w:r w:rsidR="00F048BD">
        <w:rPr>
          <w:rFonts w:ascii="Times New Roman" w:eastAsia="Times New Roman" w:hAnsi="Times New Roman" w:cs="Times New Roman"/>
          <w:sz w:val="28"/>
          <w:szCs w:val="28"/>
        </w:rPr>
        <w:t xml:space="preserve">нужно выезжать в 3.00 ночи, для того, чтобы попасть на утреннюю дойку, которая начинается в 5.00 и заканчивается в 11.00 утра. </w:t>
      </w:r>
      <w:r w:rsidR="00FA6142">
        <w:rPr>
          <w:rFonts w:ascii="Times New Roman" w:eastAsia="Times New Roman" w:hAnsi="Times New Roman" w:cs="Times New Roman"/>
          <w:sz w:val="28"/>
          <w:szCs w:val="28"/>
        </w:rPr>
        <w:t>Данные условия работы не берутся в учет и остаются без внимания.</w:t>
      </w:r>
    </w:p>
    <w:p w:rsidR="00144061" w:rsidRPr="00F048BD" w:rsidRDefault="00F048BD" w:rsidP="00673B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BB3971">
        <w:rPr>
          <w:rFonts w:ascii="Times New Roman" w:eastAsia="Times New Roman" w:hAnsi="Times New Roman" w:cs="Times New Roman"/>
          <w:sz w:val="28"/>
          <w:szCs w:val="28"/>
        </w:rPr>
        <w:t xml:space="preserve"> выше изложенное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>вызывает нежелание преподавателей работать в рамках хоздоговоров.</w:t>
      </w:r>
    </w:p>
    <w:p w:rsidR="00AB28D6" w:rsidRPr="00673B96" w:rsidRDefault="007C22CF" w:rsidP="00673B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2CF">
        <w:rPr>
          <w:rFonts w:ascii="Times New Roman" w:hAnsi="Times New Roman" w:cs="Times New Roman"/>
          <w:b/>
          <w:sz w:val="28"/>
          <w:szCs w:val="28"/>
        </w:rPr>
        <w:t>Пути решения проблем</w:t>
      </w:r>
    </w:p>
    <w:p w:rsidR="009E7CD3" w:rsidRDefault="007A6BA9" w:rsidP="0067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203D" w:rsidRPr="007A3F22">
        <w:rPr>
          <w:rFonts w:ascii="Times New Roman" w:hAnsi="Times New Roman"/>
          <w:sz w:val="28"/>
          <w:szCs w:val="28"/>
        </w:rPr>
        <w:t xml:space="preserve"> </w:t>
      </w:r>
      <w:r w:rsidR="007A3F22" w:rsidRPr="007A3F22">
        <w:rPr>
          <w:rFonts w:ascii="Times New Roman" w:hAnsi="Times New Roman" w:cs="Times New Roman"/>
          <w:sz w:val="28"/>
          <w:szCs w:val="28"/>
        </w:rPr>
        <w:t>Администрации и управлению</w:t>
      </w:r>
      <w:r w:rsidR="00CC6973">
        <w:rPr>
          <w:rFonts w:ascii="Times New Roman" w:hAnsi="Times New Roman" w:cs="Times New Roman"/>
          <w:sz w:val="28"/>
          <w:szCs w:val="28"/>
        </w:rPr>
        <w:t xml:space="preserve"> науки и послевузовского образования</w:t>
      </w:r>
      <w:r w:rsidR="009E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и оказывать</w:t>
      </w:r>
      <w:r w:rsidR="00EB6EDF" w:rsidRPr="007A3F22">
        <w:rPr>
          <w:rFonts w:ascii="Times New Roman" w:hAnsi="Times New Roman"/>
          <w:sz w:val="28"/>
          <w:szCs w:val="28"/>
        </w:rPr>
        <w:t xml:space="preserve"> помощь участникам, о</w:t>
      </w:r>
      <w:r>
        <w:rPr>
          <w:rFonts w:ascii="Times New Roman" w:hAnsi="Times New Roman"/>
          <w:sz w:val="28"/>
          <w:szCs w:val="28"/>
        </w:rPr>
        <w:t>существляющ</w:t>
      </w:r>
      <w:r w:rsidR="00EB6EDF" w:rsidRPr="007A3F22">
        <w:rPr>
          <w:rFonts w:ascii="Times New Roman" w:hAnsi="Times New Roman"/>
          <w:sz w:val="28"/>
          <w:szCs w:val="28"/>
        </w:rPr>
        <w:t>им хоздоговорную деятельность в отношении проведения переговоров, заключения договоров, расширени</w:t>
      </w:r>
      <w:r w:rsidR="009E7CD3">
        <w:rPr>
          <w:rFonts w:ascii="Times New Roman" w:hAnsi="Times New Roman"/>
          <w:sz w:val="28"/>
          <w:szCs w:val="28"/>
        </w:rPr>
        <w:t>я</w:t>
      </w:r>
      <w:r w:rsidR="00EB6EDF" w:rsidRPr="007A3F22">
        <w:rPr>
          <w:rFonts w:ascii="Times New Roman" w:hAnsi="Times New Roman"/>
          <w:sz w:val="28"/>
          <w:szCs w:val="28"/>
        </w:rPr>
        <w:t xml:space="preserve"> контактов с предприятиями</w:t>
      </w:r>
      <w:r w:rsidR="009E7C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7A3F22">
        <w:rPr>
          <w:rFonts w:ascii="Times New Roman" w:hAnsi="Times New Roman"/>
          <w:sz w:val="28"/>
          <w:szCs w:val="28"/>
        </w:rPr>
        <w:t>существлять координацию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A6142">
        <w:rPr>
          <w:rFonts w:ascii="Times New Roman" w:hAnsi="Times New Roman"/>
          <w:sz w:val="28"/>
          <w:szCs w:val="28"/>
        </w:rPr>
        <w:t xml:space="preserve">внутри университета и </w:t>
      </w:r>
      <w:r>
        <w:rPr>
          <w:rFonts w:ascii="Times New Roman" w:hAnsi="Times New Roman"/>
          <w:sz w:val="28"/>
          <w:szCs w:val="28"/>
        </w:rPr>
        <w:t>на областном уровне с целью контроля качества оказываемых услуг;</w:t>
      </w:r>
    </w:p>
    <w:p w:rsidR="007C22CF" w:rsidRPr="007C22CF" w:rsidRDefault="007A6BA9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9E7CD3">
        <w:rPr>
          <w:rFonts w:ascii="Times New Roman" w:hAnsi="Times New Roman" w:cs="Times New Roman"/>
          <w:sz w:val="28"/>
          <w:szCs w:val="28"/>
        </w:rPr>
        <w:t xml:space="preserve"> </w:t>
      </w:r>
      <w:r w:rsidR="007C22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22CF" w:rsidRPr="007C22CF">
        <w:rPr>
          <w:rFonts w:ascii="Times New Roman" w:hAnsi="Times New Roman" w:cs="Times New Roman"/>
          <w:sz w:val="28"/>
          <w:szCs w:val="28"/>
        </w:rPr>
        <w:t xml:space="preserve">нести предложение в ГУ «Управление финансов Акимата </w:t>
      </w:r>
      <w:proofErr w:type="spellStart"/>
      <w:r w:rsidR="007C22CF" w:rsidRPr="007C22C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7C22CF" w:rsidRPr="007C22CF">
        <w:rPr>
          <w:rFonts w:ascii="Times New Roman" w:hAnsi="Times New Roman" w:cs="Times New Roman"/>
          <w:sz w:val="28"/>
          <w:szCs w:val="28"/>
        </w:rPr>
        <w:t xml:space="preserve"> области» по изменению регламентации в бюджете государственных учреждений на привлечение научно-педагогических кадров для проведения тех или иных исследований;</w:t>
      </w:r>
    </w:p>
    <w:p w:rsidR="00EA7372" w:rsidRDefault="007A6BA9" w:rsidP="0067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 w:rsidR="009E7CD3">
        <w:rPr>
          <w:rFonts w:ascii="Times New Roman" w:hAnsi="Times New Roman"/>
          <w:sz w:val="28"/>
          <w:szCs w:val="28"/>
        </w:rPr>
        <w:t xml:space="preserve"> </w:t>
      </w:r>
      <w:r w:rsidR="00EA7372">
        <w:rPr>
          <w:rFonts w:ascii="Times New Roman" w:hAnsi="Times New Roman"/>
          <w:sz w:val="28"/>
          <w:szCs w:val="28"/>
        </w:rPr>
        <w:t>Р</w:t>
      </w:r>
      <w:proofErr w:type="gramEnd"/>
      <w:r w:rsidR="00F048BD">
        <w:rPr>
          <w:rFonts w:ascii="Times New Roman" w:hAnsi="Times New Roman"/>
          <w:sz w:val="28"/>
          <w:szCs w:val="28"/>
        </w:rPr>
        <w:t>ассмотреть вопрос</w:t>
      </w:r>
      <w:r w:rsidR="00EA7372">
        <w:rPr>
          <w:rFonts w:ascii="Times New Roman" w:hAnsi="Times New Roman"/>
          <w:sz w:val="28"/>
          <w:szCs w:val="28"/>
        </w:rPr>
        <w:t xml:space="preserve"> по</w:t>
      </w:r>
      <w:r w:rsidR="009E7CD3">
        <w:rPr>
          <w:rFonts w:ascii="Times New Roman" w:hAnsi="Times New Roman"/>
          <w:sz w:val="28"/>
          <w:szCs w:val="28"/>
        </w:rPr>
        <w:t xml:space="preserve"> </w:t>
      </w:r>
      <w:r w:rsidR="00181BF0">
        <w:rPr>
          <w:rFonts w:ascii="Times New Roman" w:hAnsi="Times New Roman"/>
          <w:sz w:val="28"/>
          <w:szCs w:val="28"/>
        </w:rPr>
        <w:t xml:space="preserve">дополнительному </w:t>
      </w:r>
      <w:r w:rsidR="00EA7372">
        <w:rPr>
          <w:rFonts w:ascii="Times New Roman" w:hAnsi="Times New Roman"/>
          <w:sz w:val="28"/>
          <w:szCs w:val="28"/>
        </w:rPr>
        <w:t xml:space="preserve">расходованию ГСМ в хозяйствах, расположенных отдаленно </w:t>
      </w:r>
      <w:r w:rsidR="00EA7372" w:rsidRPr="00316A15">
        <w:rPr>
          <w:rFonts w:ascii="Times New Roman" w:eastAsia="Times New Roman" w:hAnsi="Times New Roman" w:cs="Times New Roman"/>
          <w:sz w:val="28"/>
          <w:szCs w:val="28"/>
        </w:rPr>
        <w:t>от центральной территории хозяйств</w:t>
      </w:r>
      <w:r w:rsidR="009E7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372">
        <w:rPr>
          <w:rFonts w:ascii="Times New Roman" w:hAnsi="Times New Roman"/>
          <w:sz w:val="28"/>
          <w:szCs w:val="28"/>
        </w:rPr>
        <w:t>и</w:t>
      </w:r>
      <w:r w:rsidR="00CB6EC9">
        <w:rPr>
          <w:rFonts w:ascii="Times New Roman" w:hAnsi="Times New Roman"/>
          <w:sz w:val="28"/>
          <w:szCs w:val="28"/>
        </w:rPr>
        <w:t xml:space="preserve"> амортизации транспортных средств</w:t>
      </w:r>
      <w:r w:rsidR="00EA7372">
        <w:rPr>
          <w:rFonts w:ascii="Times New Roman" w:hAnsi="Times New Roman"/>
          <w:sz w:val="28"/>
          <w:szCs w:val="28"/>
        </w:rPr>
        <w:t xml:space="preserve"> и</w:t>
      </w:r>
      <w:r w:rsidR="00A07226">
        <w:rPr>
          <w:rFonts w:ascii="Times New Roman" w:hAnsi="Times New Roman"/>
          <w:sz w:val="28"/>
          <w:szCs w:val="28"/>
        </w:rPr>
        <w:t>сполнителей.</w:t>
      </w:r>
    </w:p>
    <w:p w:rsidR="007A6BA9" w:rsidRPr="00673B96" w:rsidRDefault="00FA4C7B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 w:rsidR="007A6BA9">
        <w:rPr>
          <w:rFonts w:ascii="Times New Roman" w:hAnsi="Times New Roman"/>
          <w:sz w:val="28"/>
          <w:szCs w:val="28"/>
        </w:rPr>
        <w:t xml:space="preserve"> </w:t>
      </w:r>
      <w:r w:rsidR="007A6BA9">
        <w:rPr>
          <w:rStyle w:val="1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7A6BA9">
        <w:rPr>
          <w:rStyle w:val="1"/>
          <w:rFonts w:ascii="Times New Roman" w:hAnsi="Times New Roman" w:cs="Times New Roman"/>
          <w:b w:val="0"/>
          <w:sz w:val="28"/>
          <w:szCs w:val="28"/>
        </w:rPr>
        <w:t>ктивизировать</w:t>
      </w:r>
      <w:r w:rsidR="007A6BA9" w:rsidRPr="007C22CF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организационное сопровождение договоров по принципу «одного окна»</w:t>
      </w:r>
      <w:r w:rsidR="00673B96">
        <w:rPr>
          <w:rStyle w:val="1"/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7A6BA9" w:rsidRDefault="007A6BA9" w:rsidP="0067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142" w:rsidRDefault="00FA6142" w:rsidP="0067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142" w:rsidRDefault="00FA6142" w:rsidP="0067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D68" w:rsidRDefault="003C6D68" w:rsidP="0067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ТППЖ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Г.Шайкамал</w:t>
      </w:r>
      <w:proofErr w:type="spellEnd"/>
    </w:p>
    <w:p w:rsidR="003C6D68" w:rsidRDefault="003C6D68" w:rsidP="0067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D68" w:rsidRPr="005D21C5" w:rsidRDefault="003C6D68" w:rsidP="00673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28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Д.Кенжебекова</w:t>
      </w:r>
      <w:proofErr w:type="spellEnd"/>
    </w:p>
    <w:p w:rsidR="00144061" w:rsidRDefault="00144061" w:rsidP="00144061">
      <w:pPr>
        <w:jc w:val="both"/>
      </w:pPr>
    </w:p>
    <w:p w:rsidR="00CC6973" w:rsidRDefault="00CC6973" w:rsidP="00144061">
      <w:pPr>
        <w:jc w:val="both"/>
      </w:pPr>
    </w:p>
    <w:p w:rsidR="00CC6973" w:rsidRDefault="00CC6973" w:rsidP="00144061">
      <w:pPr>
        <w:jc w:val="both"/>
      </w:pPr>
    </w:p>
    <w:p w:rsidR="00CC6973" w:rsidRDefault="00CC6973" w:rsidP="00144061">
      <w:pPr>
        <w:jc w:val="both"/>
      </w:pPr>
    </w:p>
    <w:p w:rsidR="00CC6973" w:rsidRDefault="00CC6973" w:rsidP="00144061">
      <w:pPr>
        <w:jc w:val="both"/>
      </w:pPr>
    </w:p>
    <w:p w:rsidR="00CC6973" w:rsidRDefault="00CC6973" w:rsidP="00144061">
      <w:pPr>
        <w:jc w:val="both"/>
      </w:pPr>
    </w:p>
    <w:p w:rsidR="00CC6973" w:rsidRDefault="00CC6973" w:rsidP="00144061">
      <w:pPr>
        <w:jc w:val="both"/>
      </w:pPr>
    </w:p>
    <w:sectPr w:rsidR="00CC6973" w:rsidSect="00C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D26"/>
    <w:multiLevelType w:val="hybridMultilevel"/>
    <w:tmpl w:val="6ED439A8"/>
    <w:lvl w:ilvl="0" w:tplc="63F42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521"/>
    <w:multiLevelType w:val="hybridMultilevel"/>
    <w:tmpl w:val="987654CA"/>
    <w:lvl w:ilvl="0" w:tplc="E0BAF87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A3A93"/>
    <w:multiLevelType w:val="hybridMultilevel"/>
    <w:tmpl w:val="6ED439A8"/>
    <w:lvl w:ilvl="0" w:tplc="63F42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68D"/>
    <w:rsid w:val="00036CBD"/>
    <w:rsid w:val="000B1B99"/>
    <w:rsid w:val="00131DD8"/>
    <w:rsid w:val="00144061"/>
    <w:rsid w:val="00181BF0"/>
    <w:rsid w:val="001C0004"/>
    <w:rsid w:val="001C112F"/>
    <w:rsid w:val="001D2D3C"/>
    <w:rsid w:val="00224950"/>
    <w:rsid w:val="00255AAC"/>
    <w:rsid w:val="002A268D"/>
    <w:rsid w:val="00331E7B"/>
    <w:rsid w:val="00364872"/>
    <w:rsid w:val="003B34E7"/>
    <w:rsid w:val="003C6D68"/>
    <w:rsid w:val="0046364A"/>
    <w:rsid w:val="0051276F"/>
    <w:rsid w:val="005B219A"/>
    <w:rsid w:val="005C26D2"/>
    <w:rsid w:val="00627312"/>
    <w:rsid w:val="00647A59"/>
    <w:rsid w:val="006671EE"/>
    <w:rsid w:val="00673B96"/>
    <w:rsid w:val="0069559B"/>
    <w:rsid w:val="006A2229"/>
    <w:rsid w:val="00703663"/>
    <w:rsid w:val="00743188"/>
    <w:rsid w:val="00746F53"/>
    <w:rsid w:val="00750EAE"/>
    <w:rsid w:val="007619E7"/>
    <w:rsid w:val="007A3F22"/>
    <w:rsid w:val="007A6BA9"/>
    <w:rsid w:val="007C22CF"/>
    <w:rsid w:val="007D6956"/>
    <w:rsid w:val="007D6FC7"/>
    <w:rsid w:val="007D739D"/>
    <w:rsid w:val="007F771B"/>
    <w:rsid w:val="00813F97"/>
    <w:rsid w:val="0085394E"/>
    <w:rsid w:val="008C1203"/>
    <w:rsid w:val="009B024F"/>
    <w:rsid w:val="009B44C9"/>
    <w:rsid w:val="009E7CD3"/>
    <w:rsid w:val="00A0697F"/>
    <w:rsid w:val="00A07226"/>
    <w:rsid w:val="00A15B5D"/>
    <w:rsid w:val="00A3063F"/>
    <w:rsid w:val="00A75AF5"/>
    <w:rsid w:val="00AB28D6"/>
    <w:rsid w:val="00AC3C3D"/>
    <w:rsid w:val="00B23F31"/>
    <w:rsid w:val="00BB3971"/>
    <w:rsid w:val="00BC1D94"/>
    <w:rsid w:val="00BF033D"/>
    <w:rsid w:val="00BF6E42"/>
    <w:rsid w:val="00C21344"/>
    <w:rsid w:val="00C2542B"/>
    <w:rsid w:val="00C62003"/>
    <w:rsid w:val="00CB1AAC"/>
    <w:rsid w:val="00CB6EC9"/>
    <w:rsid w:val="00CC1287"/>
    <w:rsid w:val="00CC4EC7"/>
    <w:rsid w:val="00CC6973"/>
    <w:rsid w:val="00CE22C3"/>
    <w:rsid w:val="00D41FEC"/>
    <w:rsid w:val="00D9628D"/>
    <w:rsid w:val="00DA0EA1"/>
    <w:rsid w:val="00DA203D"/>
    <w:rsid w:val="00DA2537"/>
    <w:rsid w:val="00DE741E"/>
    <w:rsid w:val="00E42D1B"/>
    <w:rsid w:val="00E77342"/>
    <w:rsid w:val="00EA7372"/>
    <w:rsid w:val="00EB6EDF"/>
    <w:rsid w:val="00F048BD"/>
    <w:rsid w:val="00F4365F"/>
    <w:rsid w:val="00FA4C7B"/>
    <w:rsid w:val="00FA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061"/>
    <w:pPr>
      <w:ind w:left="720"/>
      <w:contextualSpacing/>
    </w:pPr>
  </w:style>
  <w:style w:type="table" w:styleId="a5">
    <w:name w:val="Table Grid"/>
    <w:basedOn w:val="a1"/>
    <w:uiPriority w:val="59"/>
    <w:rsid w:val="00224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224950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224950"/>
    <w:pPr>
      <w:widowControl w:val="0"/>
      <w:shd w:val="clear" w:color="auto" w:fill="FFFFFF"/>
      <w:spacing w:before="720" w:after="1380" w:line="552" w:lineRule="exact"/>
      <w:jc w:val="center"/>
      <w:outlineLvl w:val="0"/>
    </w:pPr>
    <w:rPr>
      <w:b/>
      <w:bCs/>
      <w:sz w:val="30"/>
      <w:szCs w:val="30"/>
    </w:rPr>
  </w:style>
  <w:style w:type="paragraph" w:styleId="a6">
    <w:name w:val="No Spacing"/>
    <w:uiPriority w:val="1"/>
    <w:qFormat/>
    <w:rsid w:val="00331E7B"/>
    <w:pPr>
      <w:spacing w:after="0" w:line="240" w:lineRule="auto"/>
    </w:pPr>
    <w:rPr>
      <w:rFonts w:eastAsiaTheme="minorHAnsi"/>
      <w:lang w:eastAsia="en-US"/>
    </w:rPr>
  </w:style>
  <w:style w:type="character" w:customStyle="1" w:styleId="s1">
    <w:name w:val="s1"/>
    <w:rsid w:val="00331E7B"/>
  </w:style>
  <w:style w:type="paragraph" w:styleId="a7">
    <w:name w:val="Balloon Text"/>
    <w:basedOn w:val="a"/>
    <w:link w:val="a8"/>
    <w:uiPriority w:val="99"/>
    <w:semiHidden/>
    <w:unhideWhenUsed/>
    <w:rsid w:val="00C2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4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CC12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a">
    <w:name w:val="Основной текст с отступом Знак"/>
    <w:basedOn w:val="a0"/>
    <w:link w:val="a9"/>
    <w:rsid w:val="00CC128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Абзац списка Знак"/>
    <w:link w:val="a3"/>
    <w:uiPriority w:val="34"/>
    <w:locked/>
    <w:rsid w:val="00CC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40;&#1060;&#1045;&#1044;&#1056;&#1040;%202014-2017\&#1053;&#1040;&#1059;&#1050;&#1040;\&#1076;&#1080;&#1072;&#1075;&#1088;&#1072;&#1084;&#1084;&#1072;%20&#1082;%20&#1076;&#1086;&#1082;&#1083;&#1072;&#1076;&#1091;%20&#1088;&#1077;&#1082;&#1090;&#1086;&#1088;&#1072;&#1090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40;&#1060;&#1045;&#1044;&#1056;&#1040;%202014-2017\&#1053;&#1040;&#1059;&#1050;&#1040;\&#1076;&#1080;&#1072;&#1075;&#1088;&#1072;&#1084;&#1084;&#1072;%20&#1082;%20&#1076;&#1086;&#1082;&#1083;&#1072;&#1076;&#1091;%20&#1088;&#1077;&#1082;&#1090;&#1086;&#1088;&#1072;&#1090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40;&#1060;&#1045;&#1044;&#1056;&#1040;%202014-2017\&#1053;&#1040;&#1059;&#1050;&#1040;\&#1076;&#1080;&#1072;&#1075;&#1088;&#1072;&#1084;&#1084;&#1072;%20&#1082;%20&#1076;&#1086;&#1082;&#1083;&#1072;&#1076;&#1091;%20&#1088;&#1077;&#1082;&#1090;&#1086;&#1088;&#1072;&#1090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'количество хозяйств'!$B$1</c:f>
              <c:strCache>
                <c:ptCount val="1"/>
                <c:pt idx="0">
                  <c:v>Количество предприятий</c:v>
                </c:pt>
              </c:strCache>
            </c:strRef>
          </c:tx>
          <c:invertIfNegative val="0"/>
          <c:cat>
            <c:strRef>
              <c:f>'количество хозяйств'!$A$2:$A$4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'количество хозяйств'!$B$2:$B$4</c:f>
              <c:numCache>
                <c:formatCode>General</c:formatCode>
                <c:ptCount val="3"/>
                <c:pt idx="0">
                  <c:v>34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020032"/>
        <c:axId val="166944064"/>
        <c:axId val="166999296"/>
      </c:bar3DChart>
      <c:catAx>
        <c:axId val="1670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6944064"/>
        <c:crosses val="autoZero"/>
        <c:auto val="1"/>
        <c:lblAlgn val="ctr"/>
        <c:lblOffset val="100"/>
        <c:noMultiLvlLbl val="0"/>
      </c:catAx>
      <c:valAx>
        <c:axId val="16694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020032"/>
        <c:crosses val="autoZero"/>
        <c:crossBetween val="between"/>
      </c:valAx>
      <c:serAx>
        <c:axId val="166999296"/>
        <c:scaling>
          <c:orientation val="minMax"/>
        </c:scaling>
        <c:delete val="1"/>
        <c:axPos val="b"/>
        <c:majorTickMark val="out"/>
        <c:minorTickMark val="none"/>
        <c:tickLblPos val="nextTo"/>
        <c:crossAx val="1669440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'сумма по годам'!$B$1</c:f>
              <c:strCache>
                <c:ptCount val="1"/>
                <c:pt idx="0">
                  <c:v>Общая сумма, млн.тенге 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'сумма по годам'!$A$2:$A$4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'сумма по годам'!$B$2:$B$4</c:f>
              <c:numCache>
                <c:formatCode>General</c:formatCode>
                <c:ptCount val="3"/>
                <c:pt idx="0">
                  <c:v>32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'приобретения по годам'!$B$1</c:f>
              <c:strCache>
                <c:ptCount val="1"/>
                <c:pt idx="0">
                  <c:v>Общая сумма, тенге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r>
                      <a:rPr lang="ru-RU"/>
                      <a:t> 2 млн.тенге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r>
                      <a:rPr lang="ru-RU"/>
                      <a:t>420 тыс.тн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r>
                      <a:rPr lang="ru-RU"/>
                      <a:t>750 тыс.тн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'приобретения по годам'!$A$2:$A$4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'приобретения по годам'!$B$2:$B$4</c:f>
              <c:numCache>
                <c:formatCode>General</c:formatCode>
                <c:ptCount val="3"/>
                <c:pt idx="0">
                  <c:v>2050025</c:v>
                </c:pt>
                <c:pt idx="1">
                  <c:v>423150</c:v>
                </c:pt>
                <c:pt idx="2">
                  <c:v>750070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90464"/>
        <c:axId val="166971648"/>
      </c:barChart>
      <c:catAx>
        <c:axId val="16659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971648"/>
        <c:crosses val="autoZero"/>
        <c:auto val="1"/>
        <c:lblAlgn val="ctr"/>
        <c:lblOffset val="100"/>
        <c:noMultiLvlLbl val="0"/>
      </c:catAx>
      <c:valAx>
        <c:axId val="16697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90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3C1C-BE84-4058-9F55-3FFE47CC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55</cp:revision>
  <dcterms:created xsi:type="dcterms:W3CDTF">2017-05-30T16:48:00Z</dcterms:created>
  <dcterms:modified xsi:type="dcterms:W3CDTF">2017-06-19T04:12:00Z</dcterms:modified>
</cp:coreProperties>
</file>