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131CC1" w:rsidRPr="00131CC1" w:rsidTr="00E85F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«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>А. Байт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ұ</w:t>
            </w:r>
            <w:proofErr w:type="spellStart"/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>рсынов</w:t>
            </w:r>
            <w:proofErr w:type="spellEnd"/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>атында</w:t>
            </w:r>
            <w:proofErr w:type="spellEnd"/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ғ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</w:t>
            </w:r>
          </w:p>
          <w:p w:rsidR="00131CC1" w:rsidRPr="00131CC1" w:rsidRDefault="00131CC1" w:rsidP="00131C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>останай</w:t>
            </w:r>
            <w:proofErr w:type="spellEnd"/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өңірлік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университет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і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» КА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НАО «</w:t>
            </w:r>
            <w:r w:rsidRPr="00131CC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Костанайский</w:t>
            </w:r>
          </w:p>
          <w:p w:rsidR="00131CC1" w:rsidRPr="00131CC1" w:rsidRDefault="00131CC1" w:rsidP="00131CC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31CC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региональный университет</w:t>
            </w:r>
            <w:r w:rsidRPr="0013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CC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имени </w:t>
            </w:r>
            <w:proofErr w:type="spellStart"/>
            <w:r w:rsidRPr="00131CC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А.Байтурсынова</w:t>
            </w:r>
            <w:proofErr w:type="spellEnd"/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131CC1" w:rsidRPr="00131CC1" w:rsidTr="00E85F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120"/>
              <w:ind w:left="28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131CC1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120"/>
              <w:ind w:left="1027" w:firstLine="283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131CC1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131CC1" w:rsidRPr="00131CC1" w:rsidTr="00E85F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CC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CC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СПРАВКА</w:t>
            </w:r>
          </w:p>
        </w:tc>
      </w:tr>
      <w:tr w:rsidR="00131CC1" w:rsidRPr="00131CC1" w:rsidTr="00E85F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1CC1">
              <w:rPr>
                <w:rFonts w:ascii="inherit" w:hAnsi="inherit" w:cs="Helvetica"/>
                <w:bCs/>
                <w:color w:val="000000"/>
                <w:sz w:val="24"/>
                <w:szCs w:val="24"/>
                <w:bdr w:val="none" w:sz="0" w:space="0" w:color="auto" w:frame="1"/>
              </w:rPr>
              <w:t>Ғылыми-техникалық</w:t>
            </w:r>
            <w:proofErr w:type="spellEnd"/>
            <w:r w:rsidRPr="00131CC1">
              <w:rPr>
                <w:rFonts w:ascii="inherit" w:hAnsi="inherit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31CC1">
              <w:rPr>
                <w:rFonts w:ascii="Times New Roman" w:hAnsi="Times New Roman"/>
                <w:sz w:val="28"/>
                <w:szCs w:val="28"/>
                <w:lang w:eastAsia="ru-RU"/>
              </w:rPr>
              <w:t>кеңес</w:t>
            </w:r>
            <w:proofErr w:type="spellEnd"/>
            <w:r w:rsidRPr="00131C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CC1">
              <w:rPr>
                <w:rFonts w:ascii="Times New Roman" w:hAnsi="Times New Roman"/>
                <w:sz w:val="28"/>
                <w:szCs w:val="28"/>
                <w:lang w:eastAsia="ru-RU"/>
              </w:rPr>
              <w:t>отырысына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tabs>
                <w:tab w:val="left" w:pos="1027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CC1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заседание научно-технического совета</w:t>
            </w:r>
          </w:p>
        </w:tc>
      </w:tr>
      <w:tr w:rsidR="00131CC1" w:rsidRPr="00131CC1" w:rsidTr="00E85F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120"/>
              <w:ind w:left="283" w:hanging="283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31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03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.2022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120"/>
              <w:ind w:left="283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31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03</w:t>
            </w: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.2022 г.</w:t>
            </w:r>
          </w:p>
        </w:tc>
      </w:tr>
      <w:tr w:rsidR="00131CC1" w:rsidRPr="00131CC1" w:rsidTr="00E85F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Қостанай</w:t>
            </w:r>
            <w:proofErr w:type="spellEnd"/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қаласы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C1" w:rsidRPr="00131CC1" w:rsidRDefault="00131CC1" w:rsidP="00131CC1">
            <w:pPr>
              <w:spacing w:after="120"/>
              <w:ind w:left="283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131CC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         город Костанай</w:t>
            </w:r>
          </w:p>
        </w:tc>
      </w:tr>
    </w:tbl>
    <w:p w:rsidR="00131CC1" w:rsidRDefault="00131CC1" w:rsidP="00E540C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CC1" w:rsidRPr="00131CC1" w:rsidRDefault="00131CC1" w:rsidP="00E540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0C2" w:rsidRPr="00131CC1" w:rsidRDefault="00E540C2" w:rsidP="00E540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1CC1">
        <w:rPr>
          <w:rFonts w:ascii="Times New Roman" w:hAnsi="Times New Roman"/>
          <w:b/>
          <w:sz w:val="28"/>
          <w:szCs w:val="28"/>
        </w:rPr>
        <w:t>«</w:t>
      </w:r>
      <w:r w:rsidR="00E65BF9" w:rsidRPr="00E65BF9">
        <w:rPr>
          <w:rFonts w:ascii="Times New Roman" w:hAnsi="Times New Roman"/>
          <w:b/>
          <w:bCs/>
          <w:sz w:val="28"/>
          <w:szCs w:val="28"/>
        </w:rPr>
        <w:t>О деятельности Совета молодых ученых</w:t>
      </w:r>
      <w:r w:rsidRPr="00131CC1">
        <w:rPr>
          <w:rFonts w:ascii="Times New Roman" w:hAnsi="Times New Roman"/>
          <w:b/>
          <w:sz w:val="28"/>
          <w:szCs w:val="28"/>
        </w:rPr>
        <w:t>»</w:t>
      </w:r>
    </w:p>
    <w:p w:rsidR="00131CC1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5BF9">
        <w:rPr>
          <w:rFonts w:ascii="Times New Roman" w:hAnsi="Times New Roman"/>
          <w:b/>
          <w:sz w:val="28"/>
          <w:szCs w:val="28"/>
        </w:rPr>
        <w:t>Председатель СМУ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Абдиркенова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А.К.</w:t>
      </w:r>
    </w:p>
    <w:p w:rsid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E65BF9">
        <w:rPr>
          <w:rFonts w:ascii="Times New Roman" w:hAnsi="Times New Roman"/>
          <w:bCs/>
          <w:iCs/>
          <w:sz w:val="28"/>
          <w:szCs w:val="28"/>
          <w:lang w:val="kk-KZ"/>
        </w:rPr>
        <w:t>Мақсаты:</w:t>
      </w:r>
      <w:r w:rsidRPr="00E65BF9">
        <w:t xml:space="preserve"> </w:t>
      </w:r>
      <w:r w:rsidRPr="00E65BF9">
        <w:rPr>
          <w:rFonts w:ascii="Times New Roman" w:hAnsi="Times New Roman"/>
          <w:bCs/>
          <w:iCs/>
          <w:sz w:val="28"/>
          <w:szCs w:val="28"/>
          <w:lang w:val="kk-KZ"/>
        </w:rPr>
        <w:t xml:space="preserve">Университеттің жас ғалымдарының саясатын қалыптастыру, олардың кәсіби салалардағы қызығушылықтарына және әлеуметтік мәселелеріне қолдау көрсету. Ғылыми әлеуетті дамыту мәселелерін шешуге жас ғалымдарды тарту болып табылады.  </w:t>
      </w:r>
    </w:p>
    <w:p w:rsidR="00E65BF9" w:rsidRP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65BF9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Міндеттері:</w:t>
      </w:r>
    </w:p>
    <w:p w:rsidR="00E65BF9" w:rsidRP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- </w:t>
      </w:r>
      <w:r w:rsidRPr="00E65BF9">
        <w:rPr>
          <w:rFonts w:ascii="Times New Roman" w:hAnsi="Times New Roman"/>
          <w:i/>
          <w:iCs/>
          <w:sz w:val="28"/>
          <w:szCs w:val="28"/>
          <w:lang w:val="kk-KZ"/>
        </w:rPr>
        <w:t>жастар арасындағы ғылыми қызметтін жүзеге асыру және насихаттау;</w:t>
      </w:r>
    </w:p>
    <w:p w:rsidR="00E65BF9" w:rsidRP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>-</w:t>
      </w:r>
      <w:r w:rsidRPr="00E65BF9">
        <w:rPr>
          <w:rFonts w:ascii="Times New Roman" w:hAnsi="Times New Roman"/>
          <w:i/>
          <w:iCs/>
          <w:sz w:val="28"/>
          <w:szCs w:val="28"/>
          <w:lang w:val="kk-KZ"/>
        </w:rPr>
        <w:t xml:space="preserve"> жастардың ғылыми дайындық деңгейі мен алынған білім сапасын жақсартуға көмек көрсету;</w:t>
      </w:r>
    </w:p>
    <w:p w:rsid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>-</w:t>
      </w:r>
      <w:r w:rsidRPr="00E65BF9">
        <w:rPr>
          <w:rFonts w:ascii="Times New Roman" w:hAnsi="Times New Roman"/>
          <w:i/>
          <w:iCs/>
          <w:sz w:val="28"/>
          <w:szCs w:val="28"/>
          <w:lang w:val="kk-KZ"/>
        </w:rPr>
        <w:t xml:space="preserve"> ғылыми зерттеулердің негізгі бағыттары бойынша жас ғалымдардың жұмысын ұйымдастыру және жүзеге асыру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.</w:t>
      </w:r>
    </w:p>
    <w:p w:rsid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65BF9">
        <w:rPr>
          <w:rFonts w:ascii="Times New Roman" w:hAnsi="Times New Roman"/>
          <w:sz w:val="28"/>
          <w:szCs w:val="28"/>
          <w:lang w:val="kk-KZ"/>
        </w:rPr>
        <w:t>2020-2021 оқу жылында</w:t>
      </w:r>
      <w:r w:rsidRPr="00E65BF9">
        <w:rPr>
          <w:rFonts w:ascii="Times New Roman" w:hAnsi="Times New Roman"/>
          <w:sz w:val="28"/>
          <w:szCs w:val="28"/>
          <w:lang w:val="kk-KZ"/>
        </w:rPr>
        <w:br/>
        <w:t>Жас ғалымдар Кеңесінің құрамы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000000" w:rsidRPr="00E65BF9" w:rsidRDefault="00CC4ABF" w:rsidP="00E65B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65BF9">
        <w:rPr>
          <w:rFonts w:ascii="Times New Roman" w:hAnsi="Times New Roman"/>
          <w:sz w:val="28"/>
          <w:szCs w:val="28"/>
          <w:lang w:val="kk-KZ"/>
        </w:rPr>
        <w:t>ЖҒК құрамына 40 жасқа дейінгі университет оқытушыл</w:t>
      </w:r>
      <w:r w:rsidRPr="00E65BF9">
        <w:rPr>
          <w:rFonts w:ascii="Times New Roman" w:hAnsi="Times New Roman"/>
          <w:sz w:val="28"/>
          <w:szCs w:val="28"/>
          <w:lang w:val="kk-KZ"/>
        </w:rPr>
        <w:t>ары мүше.</w:t>
      </w:r>
    </w:p>
    <w:p w:rsidR="00000000" w:rsidRPr="00E65BF9" w:rsidRDefault="00CC4ABF" w:rsidP="00E65B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65BF9">
        <w:rPr>
          <w:rFonts w:ascii="Times New Roman" w:hAnsi="Times New Roman"/>
          <w:sz w:val="28"/>
          <w:szCs w:val="28"/>
          <w:lang w:val="kk-KZ"/>
        </w:rPr>
        <w:t xml:space="preserve"> Қазіргі уақытта Кеңестің негізгі құрамы – 41 </w:t>
      </w:r>
    </w:p>
    <w:p w:rsidR="00000000" w:rsidRPr="00E65BF9" w:rsidRDefault="00CC4ABF" w:rsidP="00E65B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F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65BF9">
        <w:rPr>
          <w:rFonts w:ascii="Times New Roman" w:hAnsi="Times New Roman"/>
          <w:sz w:val="28"/>
          <w:szCs w:val="28"/>
        </w:rPr>
        <w:t>ғылым</w:t>
      </w:r>
      <w:proofErr w:type="spellEnd"/>
      <w:r w:rsidRPr="00E65BF9">
        <w:rPr>
          <w:rFonts w:ascii="Times New Roman" w:hAnsi="Times New Roman"/>
          <w:sz w:val="28"/>
          <w:szCs w:val="28"/>
        </w:rPr>
        <w:t xml:space="preserve"> кандидаты, </w:t>
      </w:r>
      <w:proofErr w:type="spellStart"/>
      <w:r w:rsidRPr="00E65BF9">
        <w:rPr>
          <w:rFonts w:ascii="Times New Roman" w:hAnsi="Times New Roman"/>
          <w:sz w:val="28"/>
          <w:szCs w:val="28"/>
        </w:rPr>
        <w:t>PhD</w:t>
      </w:r>
      <w:proofErr w:type="spellEnd"/>
      <w:r w:rsidRPr="00E65BF9">
        <w:rPr>
          <w:rFonts w:ascii="Times New Roman" w:hAnsi="Times New Roman"/>
          <w:sz w:val="28"/>
          <w:szCs w:val="28"/>
        </w:rPr>
        <w:t>–7.;</w:t>
      </w:r>
    </w:p>
    <w:p w:rsidR="00000000" w:rsidRPr="00E65BF9" w:rsidRDefault="00CC4ABF" w:rsidP="00E65B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F9">
        <w:rPr>
          <w:rFonts w:ascii="Times New Roman" w:hAnsi="Times New Roman"/>
          <w:sz w:val="28"/>
          <w:szCs w:val="28"/>
          <w:lang w:val="kk-KZ"/>
        </w:rPr>
        <w:t>Докторанттар саны-9</w:t>
      </w:r>
    </w:p>
    <w:p w:rsidR="00000000" w:rsidRDefault="00CC4ABF" w:rsidP="00E65B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BF9">
        <w:rPr>
          <w:rFonts w:ascii="Times New Roman" w:hAnsi="Times New Roman"/>
          <w:sz w:val="28"/>
          <w:szCs w:val="28"/>
        </w:rPr>
        <w:t>магистрлер</w:t>
      </w:r>
      <w:proofErr w:type="spellEnd"/>
      <w:r w:rsidRPr="00E65BF9">
        <w:rPr>
          <w:rFonts w:ascii="Times New Roman" w:hAnsi="Times New Roman"/>
          <w:sz w:val="28"/>
          <w:szCs w:val="28"/>
        </w:rPr>
        <w:t xml:space="preserve"> саны – 19 </w:t>
      </w:r>
    </w:p>
    <w:p w:rsidR="000A4A74" w:rsidRPr="000A4A74" w:rsidRDefault="000A4A74" w:rsidP="000A4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A4A74">
        <w:rPr>
          <w:rFonts w:ascii="Times New Roman" w:hAnsi="Times New Roman"/>
          <w:sz w:val="28"/>
          <w:szCs w:val="28"/>
        </w:rPr>
        <w:t>Магистранттар</w:t>
      </w:r>
      <w:proofErr w:type="spellEnd"/>
      <w:r w:rsidRPr="000A4A74">
        <w:rPr>
          <w:rFonts w:ascii="Times New Roman" w:hAnsi="Times New Roman"/>
          <w:sz w:val="28"/>
          <w:szCs w:val="28"/>
        </w:rPr>
        <w:t xml:space="preserve"> саны-5</w:t>
      </w:r>
    </w:p>
    <w:p w:rsidR="000A4A74" w:rsidRDefault="000A4A74" w:rsidP="000A4A7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A4A74" w:rsidRDefault="000A4A74" w:rsidP="000A4A7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A4A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5792" cy="3718233"/>
            <wp:effectExtent l="0" t="0" r="3175" b="0"/>
            <wp:docPr id="1" name="Рисунок 1" descr="C:\Users\usr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67" cy="372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F9" w:rsidRP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C4ABF" w:rsidRPr="00CC4ABF" w:rsidRDefault="00CC4ABF" w:rsidP="00CC4ABF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Бағыт:</w:t>
      </w:r>
      <w:r w:rsidRPr="00CC4ABF">
        <w:rPr>
          <w:rFonts w:ascii="Times New Roman" w:eastAsiaTheme="minorEastAsia" w:hAnsi="Times New Roman"/>
          <w:color w:val="FF0000"/>
          <w:kern w:val="24"/>
          <w:sz w:val="36"/>
          <w:szCs w:val="36"/>
          <w:lang w:val="kk-KZ" w:eastAsia="ru-RU"/>
        </w:rPr>
        <w:t xml:space="preserve"> </w:t>
      </w:r>
      <w:r w:rsidRPr="00CC4ABF">
        <w:rPr>
          <w:rFonts w:ascii="Times New Roman" w:hAnsi="Times New Roman"/>
          <w:sz w:val="28"/>
          <w:szCs w:val="28"/>
          <w:lang w:val="kk-KZ"/>
        </w:rPr>
        <w:t xml:space="preserve">Халықаралық ынтымақтастықты нығайту </w:t>
      </w: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CC4ABF">
        <w:rPr>
          <w:rFonts w:ascii="Times New Roman" w:hAnsi="Times New Roman"/>
          <w:iCs/>
          <w:sz w:val="28"/>
          <w:szCs w:val="28"/>
          <w:lang w:val="kk-KZ"/>
        </w:rPr>
        <w:t>Магистранттар мен студенттердің қатысуымен өткен ««ТӘУЕЛСІЗДІК ҰРПАҒЫ: ҚҰНДЫЛЫҚТАР ЖӘНЕ ПЕРСПЕКТИВАЛАР» атты ғылыми-практикалық конференциясы (РФ және Украйна, ҚР-ның 9 ЖОО-нан қатысты)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Конференция бес секция бойынша жалғасты: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1.Экономика және құқықтың бәсекеге қабілеттілігі: қиындықтар мен тенденциялар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2.Ғылым мен техниканың дамуы: жаңа идеялар мен перспективалар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3.Агроөнеркәсіптік кешен мен жаратылыстану ғылымдарының негізгі жалпы ғылыми тенденциялары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4.Құзыреттілікке тәрбиелеу: модельдер, әдістер, технологиялар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 xml:space="preserve">5.Жаңа буын жас мамандардың құндылықтары мен мұраттары. </w:t>
      </w: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2C5E27">
          <w:rPr>
            <w:rStyle w:val="a5"/>
            <w:rFonts w:ascii="Times New Roman" w:hAnsi="Times New Roman"/>
            <w:sz w:val="28"/>
            <w:szCs w:val="28"/>
          </w:rPr>
          <w:t>https://ksu.edu.kz/newslist/science/mezhdunarodnaya-nauchno-prakticheskaya-konferenciya-studentov-i-magistrantov/</w:t>
        </w:r>
      </w:hyperlink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Жас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ғалымдар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кеңесінің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ұйымдастыруымен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өткен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«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Халықаралық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жас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ғалымдар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форумы» 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ab/>
        <w:t>Форумның мақсаты - Қазақстан мен шет елдердің жас ғалымдары арасындағы ынтымақтастықты кеңейтуге ықпал ету; Жас ғалымдар кеңесінің үздік тәжірибесінің, ғылыми және білім беру саласын дамытуға жастардың қатысу мәселелері мен келешегінің таныстырылымы; ғылыми-зерттеу саласындағы зерттеу ортасының дамуы болып табылады.</w:t>
      </w: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 xml:space="preserve">Форумға Республикалық Елбасы Нұрсұлтан Назарбаев қорынан, Армения Республикасының Ұлттық ғылым академиясынан, Тәжікстан Республикасының Ұлттық ғылым академиясынан, Қырғызстан </w:t>
      </w:r>
      <w:r w:rsidRPr="00CC4ABF">
        <w:rPr>
          <w:rFonts w:ascii="Times New Roman" w:hAnsi="Times New Roman"/>
          <w:sz w:val="28"/>
          <w:szCs w:val="28"/>
          <w:lang w:val="kk-KZ"/>
        </w:rPr>
        <w:lastRenderedPageBreak/>
        <w:t>Республикасының Ош мемлекеттік университетінен,  Ресей мемлекеттік туризм және қызмет көрсету университетінен және Халел Досмұхамедов атындағы Атырау Университетінен қатысты.</w:t>
      </w: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Жас ғалымдар-дың жобалары іске асырылуда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4ABF">
        <w:rPr>
          <w:rFonts w:ascii="Times New Roman" w:hAnsi="Times New Roman"/>
          <w:sz w:val="28"/>
          <w:szCs w:val="28"/>
          <w:lang w:val="kk-KZ"/>
        </w:rPr>
        <w:t>«Разработка программы по совершенствованию калмыцкой породы в условиях Костанайской области» Айтжанова И.Н.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C4ABF">
        <w:rPr>
          <w:rFonts w:ascii="Times New Roman" w:hAnsi="Times New Roman"/>
          <w:sz w:val="28"/>
          <w:szCs w:val="28"/>
          <w:lang w:val="kk-KZ"/>
        </w:rPr>
        <w:t>«Распространенность детерминант устойчивости к антибактериальным препаратам» Елеусизова А.Т.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Ахмет Байтұрсынұлының 150 жылдық мерей тойына байланысты “Ахмет  әлемі” университет порталына материалдар жинап, үлес қосты.</w:t>
      </w: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>«АХМЕТ БАЙТҰРСЫНҰЛЫ – ҰЛТ МҰРАТЫ ЖОЛЫНДАҒЫ ҰЛЫ ТҰЛҒА»  студенттер және магистранттарға арналған халықаралық ғылыми- практикалық кон</w:t>
      </w:r>
      <w:r>
        <w:rPr>
          <w:rFonts w:ascii="Times New Roman" w:hAnsi="Times New Roman"/>
          <w:sz w:val="28"/>
          <w:szCs w:val="28"/>
          <w:lang w:val="kk-KZ"/>
        </w:rPr>
        <w:t>ференциясына атсалысып қатысты.</w:t>
      </w: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 xml:space="preserve">2020-2021, 2021-2022 оқу жылында </w:t>
      </w:r>
      <w:r w:rsidRPr="00CC4ABF">
        <w:rPr>
          <w:rFonts w:ascii="Times New Roman" w:hAnsi="Times New Roman"/>
          <w:sz w:val="28"/>
          <w:szCs w:val="28"/>
          <w:lang w:val="kk-KZ"/>
        </w:rPr>
        <w:br/>
        <w:t>Ph.D.докторлығын қорғағандар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Селеуова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Л.А. 6D080200 - Технология производства продуктов животноводства. старший преподаватель кафедры технологии производства продуктов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Байкин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А.К. 6D050600 – Экономика. </w:t>
      </w:r>
      <w:proofErr w:type="spellStart"/>
      <w:r w:rsidRPr="00CC4ABF">
        <w:rPr>
          <w:rFonts w:ascii="Times New Roman" w:hAnsi="Times New Roman"/>
          <w:sz w:val="28"/>
          <w:szCs w:val="28"/>
        </w:rPr>
        <w:t>и.о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4ABF">
        <w:rPr>
          <w:rFonts w:ascii="Times New Roman" w:hAnsi="Times New Roman"/>
          <w:sz w:val="28"/>
          <w:szCs w:val="28"/>
        </w:rPr>
        <w:t>заведущего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кафедрой бухгалтерского учета и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4ABF">
        <w:rPr>
          <w:rFonts w:ascii="Times New Roman" w:hAnsi="Times New Roman"/>
          <w:sz w:val="28"/>
          <w:szCs w:val="28"/>
        </w:rPr>
        <w:t xml:space="preserve"> Кравченко Р. 6D80600 – Аграрная техника и технология. старший преподаватель кафедры машин, тракторов и автомобилей</w:t>
      </w:r>
      <w:r>
        <w:rPr>
          <w:rFonts w:ascii="Times New Roman" w:hAnsi="Times New Roman"/>
          <w:sz w:val="28"/>
          <w:szCs w:val="28"/>
        </w:rPr>
        <w:t>;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Абдиркенова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А.К. 6D010300 – Педагогика и психология. </w:t>
      </w:r>
      <w:proofErr w:type="spellStart"/>
      <w:r w:rsidRPr="00CC4ABF">
        <w:rPr>
          <w:rFonts w:ascii="Times New Roman" w:hAnsi="Times New Roman"/>
          <w:sz w:val="28"/>
          <w:szCs w:val="28"/>
        </w:rPr>
        <w:t>Ассоцированый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профессор кафедры </w:t>
      </w:r>
      <w:proofErr w:type="spellStart"/>
      <w:r w:rsidRPr="00CC4ABF">
        <w:rPr>
          <w:rFonts w:ascii="Times New Roman" w:hAnsi="Times New Roman"/>
          <w:sz w:val="28"/>
          <w:szCs w:val="28"/>
        </w:rPr>
        <w:t>педагогикий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и психологий</w:t>
      </w:r>
      <w:r>
        <w:rPr>
          <w:rFonts w:ascii="Times New Roman" w:hAnsi="Times New Roman"/>
          <w:sz w:val="28"/>
          <w:szCs w:val="28"/>
        </w:rPr>
        <w:t>;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Шурентаев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ABF">
        <w:rPr>
          <w:rFonts w:ascii="Times New Roman" w:hAnsi="Times New Roman"/>
          <w:sz w:val="28"/>
          <w:szCs w:val="28"/>
        </w:rPr>
        <w:t>А.М.«</w:t>
      </w:r>
      <w:proofErr w:type="gramEnd"/>
      <w:r w:rsidRPr="00CC4ABF">
        <w:rPr>
          <w:rFonts w:ascii="Times New Roman" w:hAnsi="Times New Roman"/>
          <w:sz w:val="28"/>
          <w:szCs w:val="28"/>
        </w:rPr>
        <w:t xml:space="preserve">6D050400-Журналистика» Журналистика </w:t>
      </w:r>
      <w:proofErr w:type="spellStart"/>
      <w:r w:rsidRPr="00CC4ABF">
        <w:rPr>
          <w:rFonts w:ascii="Times New Roman" w:hAnsi="Times New Roman"/>
          <w:sz w:val="28"/>
          <w:szCs w:val="28"/>
        </w:rPr>
        <w:t>және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коммуникациялық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менеджмент </w:t>
      </w:r>
      <w:proofErr w:type="spellStart"/>
      <w:r w:rsidRPr="00CC4ABF">
        <w:rPr>
          <w:rFonts w:ascii="Times New Roman" w:hAnsi="Times New Roman"/>
          <w:sz w:val="28"/>
          <w:szCs w:val="28"/>
        </w:rPr>
        <w:t>кафедрасының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меңгерушісі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ABF">
        <w:rPr>
          <w:rFonts w:ascii="Times New Roman" w:hAnsi="Times New Roman"/>
          <w:b/>
          <w:bCs/>
          <w:sz w:val="28"/>
          <w:szCs w:val="28"/>
        </w:rPr>
        <w:t>Мәселелер</w:t>
      </w:r>
      <w:proofErr w:type="spellEnd"/>
      <w:r w:rsidRPr="00CC4ABF">
        <w:rPr>
          <w:rFonts w:ascii="Times New Roman" w:hAnsi="Times New Roman"/>
          <w:b/>
          <w:bCs/>
          <w:sz w:val="28"/>
          <w:szCs w:val="28"/>
        </w:rPr>
        <w:tab/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</w:rPr>
        <w:tab/>
        <w:t>-</w:t>
      </w:r>
      <w:proofErr w:type="spellStart"/>
      <w:r w:rsidRPr="00CC4ABF">
        <w:rPr>
          <w:rFonts w:ascii="Times New Roman" w:hAnsi="Times New Roman"/>
          <w:sz w:val="28"/>
          <w:szCs w:val="28"/>
        </w:rPr>
        <w:t>университетте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жас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ғалымдардың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оқу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жүктемесінің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реттелетін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нормаларының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болмауы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4ABF">
        <w:rPr>
          <w:rFonts w:ascii="Times New Roman" w:hAnsi="Times New Roman"/>
          <w:sz w:val="28"/>
          <w:szCs w:val="28"/>
        </w:rPr>
        <w:t>осыған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оқу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үдерісі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барлық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уақытты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алады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CC4ABF">
        <w:rPr>
          <w:rFonts w:ascii="Times New Roman" w:hAnsi="Times New Roman"/>
          <w:sz w:val="28"/>
          <w:szCs w:val="28"/>
        </w:rPr>
        <w:t>ғылыми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зерттеулерді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бос </w:t>
      </w:r>
      <w:proofErr w:type="spellStart"/>
      <w:r w:rsidRPr="00CC4ABF">
        <w:rPr>
          <w:rFonts w:ascii="Times New Roman" w:hAnsi="Times New Roman"/>
          <w:sz w:val="28"/>
          <w:szCs w:val="28"/>
        </w:rPr>
        <w:t>уақытта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және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демалыс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күндері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жасау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керек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4ABF">
        <w:rPr>
          <w:rFonts w:ascii="Times New Roman" w:hAnsi="Times New Roman"/>
          <w:sz w:val="28"/>
          <w:szCs w:val="28"/>
        </w:rPr>
        <w:t>Бұл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жұмыс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өнімділігі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CC4ABF">
        <w:rPr>
          <w:rFonts w:ascii="Times New Roman" w:hAnsi="Times New Roman"/>
          <w:sz w:val="28"/>
          <w:szCs w:val="28"/>
        </w:rPr>
        <w:t>зерттеу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сапасын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төмендетеді</w:t>
      </w:r>
      <w:proofErr w:type="spellEnd"/>
      <w:r w:rsidRPr="00CC4ABF">
        <w:rPr>
          <w:rFonts w:ascii="Times New Roman" w:hAnsi="Times New Roman"/>
          <w:sz w:val="28"/>
          <w:szCs w:val="28"/>
        </w:rPr>
        <w:t>.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>Шешу</w:t>
      </w:r>
      <w:proofErr w:type="spellEnd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>жолдары</w:t>
      </w:r>
      <w:proofErr w:type="spellEnd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жас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ғалымдардың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жалақысын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төмендетпей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оқу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жүктемесін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(0,25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ставкаға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дейін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)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төмендету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мүмкіндігін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немесе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негізгі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жүктемеге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0,25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ставкаға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дейін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қосымша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ақы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төлеу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мүмкіндігін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қарастыру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қажет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>.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4ABF">
        <w:rPr>
          <w:rFonts w:ascii="Times New Roman" w:hAnsi="Times New Roman"/>
          <w:sz w:val="28"/>
          <w:szCs w:val="28"/>
          <w:lang w:val="kk-KZ"/>
        </w:rPr>
        <w:tab/>
        <w:t>-</w:t>
      </w:r>
      <w:r w:rsidRPr="00CC4ABF">
        <w:rPr>
          <w:rFonts w:ascii="Times New Roman" w:hAnsi="Times New Roman"/>
          <w:sz w:val="28"/>
          <w:szCs w:val="28"/>
        </w:rPr>
        <w:t xml:space="preserve"> университет </w:t>
      </w:r>
      <w:proofErr w:type="spellStart"/>
      <w:r w:rsidRPr="00CC4ABF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ЖҒК </w:t>
      </w:r>
      <w:proofErr w:type="spellStart"/>
      <w:r w:rsidRPr="00CC4ABF">
        <w:rPr>
          <w:rFonts w:ascii="Times New Roman" w:hAnsi="Times New Roman"/>
          <w:sz w:val="28"/>
          <w:szCs w:val="28"/>
        </w:rPr>
        <w:t>қызметіне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арнайы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бөлімнің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болмауы</w:t>
      </w:r>
      <w:proofErr w:type="spellEnd"/>
      <w:r w:rsidRPr="00CC4ABF">
        <w:rPr>
          <w:rFonts w:ascii="Times New Roman" w:hAnsi="Times New Roman"/>
          <w:sz w:val="28"/>
          <w:szCs w:val="28"/>
        </w:rPr>
        <w:t>;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ABF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>Шешу</w:t>
      </w:r>
      <w:proofErr w:type="spellEnd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>жолдары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: университет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сайтында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университеттің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жас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ғалымдарының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қызметі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туралы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заманауи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ақпараттардан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тұратын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«ЖҒК»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қосымша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бөлім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жасау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>.</w:t>
      </w:r>
    </w:p>
    <w:p w:rsidR="00CC4ABF" w:rsidRP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proofErr w:type="spellStart"/>
      <w:r w:rsidRPr="00CC4ABF">
        <w:rPr>
          <w:rFonts w:ascii="Times New Roman" w:hAnsi="Times New Roman"/>
          <w:sz w:val="28"/>
          <w:szCs w:val="28"/>
        </w:rPr>
        <w:t>нөлдік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емес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импакт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-факторы бар </w:t>
      </w:r>
      <w:proofErr w:type="spellStart"/>
      <w:r w:rsidRPr="00CC4ABF">
        <w:rPr>
          <w:rFonts w:ascii="Times New Roman" w:hAnsi="Times New Roman"/>
          <w:sz w:val="28"/>
          <w:szCs w:val="28"/>
        </w:rPr>
        <w:t>журналдарда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жариялау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белсенділігінің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төмендігі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4ABF">
        <w:rPr>
          <w:rFonts w:ascii="Times New Roman" w:hAnsi="Times New Roman"/>
          <w:sz w:val="28"/>
          <w:szCs w:val="28"/>
        </w:rPr>
        <w:t>соның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салдарынан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жас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университет </w:t>
      </w:r>
      <w:proofErr w:type="spellStart"/>
      <w:r w:rsidRPr="00CC4ABF">
        <w:rPr>
          <w:rFonts w:ascii="Times New Roman" w:hAnsi="Times New Roman"/>
          <w:sz w:val="28"/>
          <w:szCs w:val="28"/>
        </w:rPr>
        <w:t>ғалымдары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Білім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және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ғылым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министрлігінің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гранттық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қаржыландыру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конкурстарының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басшыларына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қойылатын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талаптарға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сәйкес</w:t>
      </w:r>
      <w:proofErr w:type="spellEnd"/>
      <w:r w:rsidRPr="00CC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sz w:val="28"/>
          <w:szCs w:val="28"/>
        </w:rPr>
        <w:t>келмейді</w:t>
      </w:r>
      <w:proofErr w:type="spellEnd"/>
    </w:p>
    <w:p w:rsidR="00CC4ABF" w:rsidRDefault="00CC4ABF" w:rsidP="00CC4AB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C4ABF">
        <w:rPr>
          <w:rFonts w:ascii="Times New Roman" w:hAnsi="Times New Roman"/>
          <w:sz w:val="28"/>
          <w:szCs w:val="28"/>
        </w:rPr>
        <w:tab/>
      </w:r>
      <w:proofErr w:type="spellStart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>Шешу</w:t>
      </w:r>
      <w:proofErr w:type="spellEnd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>жолдары</w:t>
      </w:r>
      <w:proofErr w:type="spellEnd"/>
      <w:r w:rsidRPr="00CC4ABF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Pr="00CC4ABF">
        <w:rPr>
          <w:rFonts w:ascii="Times New Roman" w:hAnsi="Times New Roman"/>
          <w:i/>
          <w:iCs/>
          <w:sz w:val="28"/>
          <w:szCs w:val="28"/>
        </w:rPr>
        <w:t xml:space="preserve">осы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мәселені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4ABF">
        <w:rPr>
          <w:rFonts w:ascii="Times New Roman" w:hAnsi="Times New Roman"/>
          <w:i/>
          <w:iCs/>
          <w:sz w:val="28"/>
          <w:szCs w:val="28"/>
          <w:lang w:val="en-US"/>
        </w:rPr>
        <w:t>SMART</w:t>
      </w:r>
      <w:r w:rsidRPr="00CC4ABF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талдау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, университет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ғалымдарының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арасынан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авторлар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тобын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құру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>, ҚР-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ның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серіктес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университеттерімен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оның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ішінде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шетелдік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университеттермен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ғылыми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ынтымақтастық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құру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жарияланымдарды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ішінара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қаржыландыру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немесе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импакт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-факторы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жоғары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журналдарда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жарияланған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мақала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шығындарының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ішінара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өтелуі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бірақ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басылым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шығындарын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қаржылық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қамтуды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көздейтін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1-2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квартильді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4ABF">
        <w:rPr>
          <w:rFonts w:ascii="Times New Roman" w:hAnsi="Times New Roman"/>
          <w:i/>
          <w:iCs/>
          <w:sz w:val="28"/>
          <w:szCs w:val="28"/>
        </w:rPr>
        <w:t>болуы</w:t>
      </w:r>
      <w:proofErr w:type="spellEnd"/>
      <w:r w:rsidRPr="00CC4ABF">
        <w:rPr>
          <w:rFonts w:ascii="Times New Roman" w:hAnsi="Times New Roman"/>
          <w:i/>
          <w:iCs/>
          <w:sz w:val="28"/>
          <w:szCs w:val="28"/>
        </w:rPr>
        <w:t>.</w:t>
      </w:r>
    </w:p>
    <w:p w:rsidR="00E65BF9" w:rsidRP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456239" w:rsidRPr="00E65BF9" w:rsidRDefault="00456239" w:rsidP="006C1B94">
      <w:pPr>
        <w:pStyle w:val="2"/>
        <w:spacing w:after="0" w:line="240" w:lineRule="auto"/>
        <w:ind w:left="0" w:hanging="142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65BF9" w:rsidRDefault="00E65BF9" w:rsidP="00E65B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5BF9">
        <w:rPr>
          <w:rFonts w:ascii="Times New Roman" w:hAnsi="Times New Roman"/>
          <w:b/>
          <w:sz w:val="28"/>
          <w:szCs w:val="28"/>
        </w:rPr>
        <w:t>Председатель СМУ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Абдиркенова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А.К.</w:t>
      </w:r>
    </w:p>
    <w:p w:rsidR="008A27E8" w:rsidRPr="00131CC1" w:rsidRDefault="008A27E8" w:rsidP="00E65BF9">
      <w:pPr>
        <w:pStyle w:val="2"/>
        <w:spacing w:after="0" w:line="240" w:lineRule="auto"/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A27E8" w:rsidRPr="001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1F1"/>
    <w:multiLevelType w:val="hybridMultilevel"/>
    <w:tmpl w:val="26B8DDE2"/>
    <w:lvl w:ilvl="0" w:tplc="B44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2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6E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6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2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C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6D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C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C2"/>
    <w:rsid w:val="000A4A74"/>
    <w:rsid w:val="00131CC1"/>
    <w:rsid w:val="00187EFD"/>
    <w:rsid w:val="001D4FD9"/>
    <w:rsid w:val="00227933"/>
    <w:rsid w:val="00286FB4"/>
    <w:rsid w:val="00302223"/>
    <w:rsid w:val="00456239"/>
    <w:rsid w:val="004947E6"/>
    <w:rsid w:val="00582E41"/>
    <w:rsid w:val="005933BF"/>
    <w:rsid w:val="005E7070"/>
    <w:rsid w:val="006C1B94"/>
    <w:rsid w:val="008A27E8"/>
    <w:rsid w:val="00B82222"/>
    <w:rsid w:val="00CC4ABF"/>
    <w:rsid w:val="00E540C2"/>
    <w:rsid w:val="00E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439C"/>
  <w15:docId w15:val="{70E54B07-B560-4C4F-B72B-42A22DDC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540C2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540C2"/>
    <w:rPr>
      <w:rFonts w:ascii="Calibri" w:eastAsia="Calibri" w:hAnsi="Calibri" w:cs="Times New Roman"/>
      <w:sz w:val="20"/>
      <w:szCs w:val="20"/>
    </w:rPr>
  </w:style>
  <w:style w:type="paragraph" w:customStyle="1" w:styleId="1">
    <w:name w:val="Обычный1"/>
    <w:rsid w:val="00E540C2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0A4A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4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u.edu.kz/newslist/science/mezhdunarodnaya-nauchno-prakticheskaya-konferenciya-studentov-i-magistrant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2022-04-08T07:55:00Z</dcterms:created>
  <dcterms:modified xsi:type="dcterms:W3CDTF">2022-04-26T03:36:00Z</dcterms:modified>
</cp:coreProperties>
</file>