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8D28C7">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27</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8D28C7" w:rsidRPr="008D28C7">
              <w:rPr>
                <w:rFonts w:ascii="Times New Roman" w:hAnsi="Times New Roman" w:cs="Times New Roman"/>
                <w:color w:val="000000"/>
                <w:sz w:val="28"/>
                <w:szCs w:val="28"/>
                <w:lang w:val="kk-KZ"/>
              </w:rPr>
              <w:t>5</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8D28C7" w:rsidRDefault="00ED7854" w:rsidP="00ED7854">
      <w:pPr>
        <w:spacing w:after="0" w:line="240" w:lineRule="auto"/>
        <w:jc w:val="both"/>
        <w:rPr>
          <w:rFonts w:ascii="Times New Roman" w:hAnsi="Times New Roman" w:cs="Times New Roman"/>
          <w:color w:val="000000"/>
          <w:sz w:val="28"/>
          <w:szCs w:val="28"/>
          <w:lang w:val="kk-KZ"/>
        </w:rPr>
      </w:pPr>
      <w:bookmarkStart w:id="0" w:name="_GoBack"/>
      <w:bookmarkEnd w:id="0"/>
      <w:r w:rsidRPr="00ED7854">
        <w:rPr>
          <w:rFonts w:ascii="Times New Roman" w:hAnsi="Times New Roman" w:cs="Times New Roman"/>
          <w:sz w:val="28"/>
          <w:szCs w:val="28"/>
          <w:lang w:val="kk-KZ"/>
        </w:rPr>
        <w:t>Рекомендовать монографию Контробаевой Ж.Д., Исинтаева Т.И., Салыкова Б.Р. к публичной печати.</w:t>
      </w: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15927"/>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BE3FFA"/>
    <w:rsid w:val="00D16584"/>
    <w:rsid w:val="00DD2594"/>
    <w:rsid w:val="00ED785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90</Words>
  <Characters>516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2016-02-18T10:22:00Z</dcterms:created>
  <dcterms:modified xsi:type="dcterms:W3CDTF">2021-10-28T11:46:00Z</dcterms:modified>
</cp:coreProperties>
</file>