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93"/>
        <w:gridCol w:w="7393"/>
      </w:tblGrid>
      <w:tr w:rsidR="00267510" w:rsidRPr="00A04138" w14:paraId="52AAA36A" w14:textId="77777777" w:rsidTr="00965996">
        <w:trPr>
          <w:trHeight w:val="754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846E" w14:textId="5009DA74" w:rsidR="00267510" w:rsidRPr="00A04138" w:rsidRDefault="00267510" w:rsidP="005036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</w:rPr>
              <w:t>«А</w:t>
            </w:r>
            <w:r w:rsidR="00984700">
              <w:rPr>
                <w:rFonts w:ascii="Times New Roman" w:hAnsi="Times New Roman" w:cs="Times New Roman"/>
                <w:sz w:val="28"/>
                <w:szCs w:val="24"/>
              </w:rPr>
              <w:t xml:space="preserve">хмет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Байтұрсын</w:t>
            </w:r>
            <w:proofErr w:type="spellEnd"/>
            <w:r w:rsidR="00984700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kk-KZ" w:eastAsia="ru-RU"/>
              </w:rPr>
              <w:t>ұлы</w:t>
            </w:r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атындағы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Қостанай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өңірлік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университеті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» КЕАҚ</w:t>
            </w:r>
          </w:p>
          <w:p w14:paraId="4D7A5929" w14:textId="77777777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54A1" w14:textId="3217A0F2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  <w:r w:rsidRPr="00A04138">
              <w:rPr>
                <w:rFonts w:cs="Times New Roman"/>
                <w:sz w:val="28"/>
              </w:rPr>
              <w:t xml:space="preserve">НАО </w:t>
            </w:r>
            <w:proofErr w:type="gramStart"/>
            <w:r w:rsidRPr="00A04138">
              <w:rPr>
                <w:rFonts w:cs="Times New Roman"/>
                <w:sz w:val="28"/>
              </w:rPr>
              <w:t>« Костанайский</w:t>
            </w:r>
            <w:proofErr w:type="gramEnd"/>
            <w:r w:rsidRPr="00A04138">
              <w:rPr>
                <w:rFonts w:cs="Times New Roman"/>
                <w:sz w:val="28"/>
              </w:rPr>
              <w:t xml:space="preserve">  региональный университет</w:t>
            </w:r>
            <w:r w:rsidRPr="00A04138">
              <w:rPr>
                <w:rFonts w:cs="Times New Roman"/>
                <w:sz w:val="28"/>
                <w:lang w:val="kk-KZ"/>
              </w:rPr>
              <w:t xml:space="preserve"> имени </w:t>
            </w:r>
            <w:r w:rsidR="00984700" w:rsidRPr="00A04138">
              <w:rPr>
                <w:rFonts w:cs="Times New Roman"/>
                <w:sz w:val="28"/>
              </w:rPr>
              <w:t>А</w:t>
            </w:r>
            <w:r w:rsidR="00984700">
              <w:rPr>
                <w:rFonts w:cs="Times New Roman"/>
                <w:sz w:val="28"/>
              </w:rPr>
              <w:t xml:space="preserve">хмет </w:t>
            </w:r>
            <w:proofErr w:type="spellStart"/>
            <w:r w:rsidR="00984700" w:rsidRPr="00A04138">
              <w:rPr>
                <w:rFonts w:cs="Times New Roman"/>
                <w:sz w:val="28"/>
              </w:rPr>
              <w:t>Байтұрсын</w:t>
            </w:r>
            <w:proofErr w:type="spellEnd"/>
            <w:r w:rsidR="00984700">
              <w:rPr>
                <w:rFonts w:cs="Times New Roman"/>
                <w:sz w:val="28"/>
                <w:lang w:val="kk-KZ"/>
              </w:rPr>
              <w:t>ұлы</w:t>
            </w:r>
            <w:r w:rsidRPr="00A04138">
              <w:rPr>
                <w:rFonts w:cs="Times New Roman"/>
                <w:sz w:val="28"/>
              </w:rPr>
              <w:t>»</w:t>
            </w:r>
          </w:p>
        </w:tc>
      </w:tr>
      <w:tr w:rsidR="00267510" w:rsidRPr="00A04138" w14:paraId="15FE679D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E2B" w14:textId="77777777" w:rsidR="00267510" w:rsidRPr="00A04138" w:rsidRDefault="00267510" w:rsidP="005036F1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80B5" w14:textId="77777777" w:rsidR="00267510" w:rsidRPr="00A04138" w:rsidRDefault="00267510" w:rsidP="005036F1">
            <w:pPr>
              <w:spacing w:after="0" w:line="240" w:lineRule="auto"/>
              <w:ind w:left="1027" w:firstLine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</w:tr>
      <w:tr w:rsidR="00267510" w:rsidRPr="00A04138" w14:paraId="53E12AE7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ACE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F775" w14:textId="77777777" w:rsidR="00267510" w:rsidRPr="00A04138" w:rsidRDefault="00267510" w:rsidP="005036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СПРАВКА</w:t>
            </w:r>
          </w:p>
        </w:tc>
      </w:tr>
      <w:tr w:rsidR="00267510" w:rsidRPr="00A04138" w14:paraId="7CFC4305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D33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ғылыми 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6D2D" w14:textId="77777777" w:rsidR="00267510" w:rsidRPr="00A04138" w:rsidRDefault="00267510" w:rsidP="005036F1">
            <w:pPr>
              <w:tabs>
                <w:tab w:val="left" w:pos="10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на заседание ученого совета</w:t>
            </w:r>
          </w:p>
        </w:tc>
      </w:tr>
      <w:tr w:rsidR="00267510" w:rsidRPr="00A04138" w14:paraId="4C22F6A4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FFCA" w14:textId="54F513D3" w:rsidR="00267510" w:rsidRPr="00A04138" w:rsidRDefault="0077261F" w:rsidP="005036F1">
            <w:pPr>
              <w:spacing w:after="0" w:line="240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26</w:t>
            </w:r>
            <w:r w:rsidR="00E023C6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06</w:t>
            </w:r>
            <w:r w:rsidR="00E023C6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2025</w:t>
            </w:r>
            <w:r w:rsidR="00267510"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D4A7" w14:textId="69AD5106" w:rsidR="00267510" w:rsidRPr="00A04138" w:rsidRDefault="00E023C6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26.062025</w:t>
            </w:r>
            <w:r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 xml:space="preserve"> </w:t>
            </w:r>
            <w:r w:rsidR="00267510"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г.</w:t>
            </w:r>
          </w:p>
        </w:tc>
      </w:tr>
      <w:tr w:rsidR="00267510" w:rsidRPr="00A04138" w14:paraId="22AB1349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C199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0A7D" w14:textId="77777777" w:rsidR="00267510" w:rsidRPr="00A04138" w:rsidRDefault="00267510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  <w:lang w:eastAsia="ja-JP"/>
              </w:rPr>
            </w:pPr>
            <w:r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город Костанай</w:t>
            </w:r>
          </w:p>
        </w:tc>
      </w:tr>
    </w:tbl>
    <w:p w14:paraId="180FA200" w14:textId="77777777" w:rsidR="00CB5BC4" w:rsidRPr="00A04138" w:rsidRDefault="00CB5BC4" w:rsidP="005036F1">
      <w:pPr>
        <w:spacing w:after="0" w:line="240" w:lineRule="auto"/>
        <w:rPr>
          <w:rFonts w:ascii="Times New Roman" w:hAnsi="Times New Roman" w:cs="Times New Roman"/>
        </w:rPr>
      </w:pPr>
    </w:p>
    <w:p w14:paraId="16463723" w14:textId="77777777" w:rsidR="00E023C6" w:rsidRP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3C6">
        <w:rPr>
          <w:rStyle w:val="ac"/>
          <w:sz w:val="28"/>
          <w:szCs w:val="28"/>
        </w:rPr>
        <w:t xml:space="preserve">2024–2025 </w:t>
      </w:r>
      <w:proofErr w:type="spellStart"/>
      <w:r w:rsidRPr="00E023C6">
        <w:rPr>
          <w:rStyle w:val="ac"/>
          <w:sz w:val="28"/>
          <w:szCs w:val="28"/>
        </w:rPr>
        <w:t>оқу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жылының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бірінші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жартыжылдығында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Ғылыми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кеңес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шешімдерінің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орындалуы</w:t>
      </w:r>
      <w:proofErr w:type="spellEnd"/>
      <w:r w:rsidRPr="00E023C6">
        <w:rPr>
          <w:rStyle w:val="ac"/>
          <w:sz w:val="28"/>
          <w:szCs w:val="28"/>
        </w:rPr>
        <w:t xml:space="preserve"> </w:t>
      </w:r>
      <w:proofErr w:type="spellStart"/>
      <w:r w:rsidRPr="00E023C6">
        <w:rPr>
          <w:rStyle w:val="ac"/>
          <w:sz w:val="28"/>
          <w:szCs w:val="28"/>
        </w:rPr>
        <w:t>туралы</w:t>
      </w:r>
      <w:proofErr w:type="spellEnd"/>
    </w:p>
    <w:p w14:paraId="77F48584" w14:textId="77777777" w:rsid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BDFA3B" w14:textId="2E5B19AB" w:rsidR="00E023C6" w:rsidRP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023C6">
        <w:rPr>
          <w:sz w:val="28"/>
          <w:szCs w:val="28"/>
        </w:rPr>
        <w:t xml:space="preserve">2024–2025 </w:t>
      </w:r>
      <w:proofErr w:type="spellStart"/>
      <w:r w:rsidRPr="00E023C6">
        <w:rPr>
          <w:sz w:val="28"/>
          <w:szCs w:val="28"/>
        </w:rPr>
        <w:t>оқу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жылының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бірінші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жартыжылдығына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Ғылыми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кеңестің</w:t>
      </w:r>
      <w:proofErr w:type="spellEnd"/>
      <w:r w:rsidRPr="00E023C6">
        <w:rPr>
          <w:sz w:val="28"/>
          <w:szCs w:val="28"/>
        </w:rPr>
        <w:t xml:space="preserve"> 5 </w:t>
      </w:r>
      <w:proofErr w:type="spellStart"/>
      <w:r w:rsidRPr="00E023C6">
        <w:rPr>
          <w:sz w:val="28"/>
          <w:szCs w:val="28"/>
        </w:rPr>
        <w:t>отырысын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өткізу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жоспарланып</w:t>
      </w:r>
      <w:proofErr w:type="spellEnd"/>
      <w:r w:rsidRPr="00E023C6">
        <w:rPr>
          <w:sz w:val="28"/>
          <w:szCs w:val="28"/>
        </w:rPr>
        <w:t xml:space="preserve">, </w:t>
      </w:r>
      <w:proofErr w:type="spellStart"/>
      <w:r w:rsidRPr="00E023C6">
        <w:rPr>
          <w:sz w:val="28"/>
          <w:szCs w:val="28"/>
        </w:rPr>
        <w:t>өткізілді</w:t>
      </w:r>
      <w:proofErr w:type="spellEnd"/>
      <w:r w:rsidRPr="00E023C6">
        <w:rPr>
          <w:sz w:val="28"/>
          <w:szCs w:val="28"/>
        </w:rPr>
        <w:t xml:space="preserve">, </w:t>
      </w:r>
      <w:proofErr w:type="spellStart"/>
      <w:r w:rsidRPr="00E023C6">
        <w:rPr>
          <w:sz w:val="28"/>
          <w:szCs w:val="28"/>
        </w:rPr>
        <w:t>сондай-ақ</w:t>
      </w:r>
      <w:proofErr w:type="spellEnd"/>
      <w:r w:rsidRPr="00E023C6">
        <w:rPr>
          <w:sz w:val="28"/>
          <w:szCs w:val="28"/>
        </w:rPr>
        <w:t xml:space="preserve"> 8 </w:t>
      </w:r>
      <w:proofErr w:type="spellStart"/>
      <w:r w:rsidRPr="00E023C6">
        <w:rPr>
          <w:sz w:val="28"/>
          <w:szCs w:val="28"/>
        </w:rPr>
        <w:t>отырыс</w:t>
      </w:r>
      <w:proofErr w:type="spellEnd"/>
      <w:r w:rsidRPr="00E023C6">
        <w:rPr>
          <w:sz w:val="28"/>
          <w:szCs w:val="28"/>
        </w:rPr>
        <w:t xml:space="preserve"> (</w:t>
      </w:r>
      <w:proofErr w:type="spellStart"/>
      <w:r w:rsidRPr="00E023C6">
        <w:rPr>
          <w:sz w:val="28"/>
          <w:szCs w:val="28"/>
        </w:rPr>
        <w:t>оның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ішінде</w:t>
      </w:r>
      <w:proofErr w:type="spellEnd"/>
      <w:r w:rsidRPr="00E023C6">
        <w:rPr>
          <w:sz w:val="28"/>
          <w:szCs w:val="28"/>
        </w:rPr>
        <w:t xml:space="preserve"> 3 </w:t>
      </w:r>
      <w:proofErr w:type="spellStart"/>
      <w:r w:rsidRPr="00E023C6">
        <w:rPr>
          <w:sz w:val="28"/>
          <w:szCs w:val="28"/>
        </w:rPr>
        <w:t>кезектен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тыс</w:t>
      </w:r>
      <w:proofErr w:type="spellEnd"/>
      <w:r w:rsidRPr="00E023C6">
        <w:rPr>
          <w:sz w:val="28"/>
          <w:szCs w:val="28"/>
        </w:rPr>
        <w:t xml:space="preserve">) </w:t>
      </w:r>
      <w:proofErr w:type="spellStart"/>
      <w:r w:rsidRPr="00E023C6">
        <w:rPr>
          <w:sz w:val="28"/>
          <w:szCs w:val="28"/>
        </w:rPr>
        <w:t>өткізілді</w:t>
      </w:r>
      <w:proofErr w:type="spellEnd"/>
      <w:r w:rsidRPr="00E023C6">
        <w:rPr>
          <w:sz w:val="28"/>
          <w:szCs w:val="28"/>
        </w:rPr>
        <w:t xml:space="preserve">. </w:t>
      </w:r>
      <w:proofErr w:type="spellStart"/>
      <w:r w:rsidRPr="00E023C6">
        <w:rPr>
          <w:sz w:val="28"/>
          <w:szCs w:val="28"/>
        </w:rPr>
        <w:t>Қарауға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барлығы</w:t>
      </w:r>
      <w:proofErr w:type="spellEnd"/>
      <w:r w:rsidRPr="00E023C6">
        <w:rPr>
          <w:sz w:val="28"/>
          <w:szCs w:val="28"/>
        </w:rPr>
        <w:t xml:space="preserve"> 12 </w:t>
      </w:r>
      <w:proofErr w:type="spellStart"/>
      <w:r w:rsidRPr="00E023C6">
        <w:rPr>
          <w:sz w:val="28"/>
          <w:szCs w:val="28"/>
        </w:rPr>
        <w:t>мәселе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шығарылды</w:t>
      </w:r>
      <w:proofErr w:type="spellEnd"/>
      <w:r w:rsidRPr="00E023C6">
        <w:rPr>
          <w:sz w:val="28"/>
          <w:szCs w:val="28"/>
        </w:rPr>
        <w:t>.</w:t>
      </w:r>
    </w:p>
    <w:p w14:paraId="79356BF7" w14:textId="77777777" w:rsidR="00E023C6" w:rsidRP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023C6">
        <w:rPr>
          <w:sz w:val="28"/>
          <w:szCs w:val="28"/>
        </w:rPr>
        <w:t>Ғылыми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кеңес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отырыстарында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есепті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кезеңдегі</w:t>
      </w:r>
      <w:proofErr w:type="spellEnd"/>
      <w:r w:rsidRPr="00E023C6">
        <w:rPr>
          <w:sz w:val="28"/>
          <w:szCs w:val="28"/>
        </w:rPr>
        <w:t xml:space="preserve"> Университет </w:t>
      </w:r>
      <w:proofErr w:type="spellStart"/>
      <w:r w:rsidRPr="00E023C6">
        <w:rPr>
          <w:sz w:val="28"/>
          <w:szCs w:val="28"/>
        </w:rPr>
        <w:t>ұжымының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жұмыс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қорытындылары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және</w:t>
      </w:r>
      <w:proofErr w:type="spellEnd"/>
      <w:r w:rsidRPr="00E023C6">
        <w:rPr>
          <w:sz w:val="28"/>
          <w:szCs w:val="28"/>
        </w:rPr>
        <w:t xml:space="preserve"> 2024–2025 </w:t>
      </w:r>
      <w:proofErr w:type="spellStart"/>
      <w:r w:rsidRPr="00E023C6">
        <w:rPr>
          <w:sz w:val="28"/>
          <w:szCs w:val="28"/>
        </w:rPr>
        <w:t>оқу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жылына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арналған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міндеттер</w:t>
      </w:r>
      <w:proofErr w:type="spellEnd"/>
      <w:r w:rsidRPr="00E023C6">
        <w:rPr>
          <w:sz w:val="28"/>
          <w:szCs w:val="28"/>
        </w:rPr>
        <w:t xml:space="preserve">, </w:t>
      </w:r>
      <w:proofErr w:type="spellStart"/>
      <w:r w:rsidRPr="00E023C6">
        <w:rPr>
          <w:sz w:val="28"/>
          <w:szCs w:val="28"/>
        </w:rPr>
        <w:t>білім</w:t>
      </w:r>
      <w:proofErr w:type="spellEnd"/>
      <w:r w:rsidRPr="00E023C6">
        <w:rPr>
          <w:sz w:val="28"/>
          <w:szCs w:val="28"/>
        </w:rPr>
        <w:t xml:space="preserve"> беру </w:t>
      </w:r>
      <w:proofErr w:type="spellStart"/>
      <w:r w:rsidRPr="00E023C6">
        <w:rPr>
          <w:sz w:val="28"/>
          <w:szCs w:val="28"/>
        </w:rPr>
        <w:t>гранттарын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тағайындау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және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оқу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ақысын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төлеу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бойынша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жеңілдіктер</w:t>
      </w:r>
      <w:proofErr w:type="spellEnd"/>
      <w:r w:rsidRPr="00E023C6">
        <w:rPr>
          <w:sz w:val="28"/>
          <w:szCs w:val="28"/>
        </w:rPr>
        <w:t xml:space="preserve"> беру, </w:t>
      </w:r>
      <w:proofErr w:type="spellStart"/>
      <w:r w:rsidRPr="00E023C6">
        <w:rPr>
          <w:sz w:val="28"/>
          <w:szCs w:val="28"/>
        </w:rPr>
        <w:t>Университеттің</w:t>
      </w:r>
      <w:proofErr w:type="spellEnd"/>
      <w:r w:rsidRPr="00E023C6">
        <w:rPr>
          <w:sz w:val="28"/>
          <w:szCs w:val="28"/>
        </w:rPr>
        <w:t xml:space="preserve"> 2024–2025 </w:t>
      </w:r>
      <w:proofErr w:type="spellStart"/>
      <w:r w:rsidRPr="00E023C6">
        <w:rPr>
          <w:sz w:val="28"/>
          <w:szCs w:val="28"/>
        </w:rPr>
        <w:t>жаңа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оқу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жылына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дайындығы</w:t>
      </w:r>
      <w:proofErr w:type="spellEnd"/>
      <w:r w:rsidRPr="00E023C6">
        <w:rPr>
          <w:sz w:val="28"/>
          <w:szCs w:val="28"/>
        </w:rPr>
        <w:t xml:space="preserve">, </w:t>
      </w:r>
      <w:proofErr w:type="spellStart"/>
      <w:r w:rsidRPr="00E023C6">
        <w:rPr>
          <w:sz w:val="28"/>
          <w:szCs w:val="28"/>
        </w:rPr>
        <w:t>мемлекеттік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білім</w:t>
      </w:r>
      <w:proofErr w:type="spellEnd"/>
      <w:r w:rsidRPr="00E023C6">
        <w:rPr>
          <w:sz w:val="28"/>
          <w:szCs w:val="28"/>
        </w:rPr>
        <w:t xml:space="preserve"> беру </w:t>
      </w:r>
      <w:proofErr w:type="spellStart"/>
      <w:r w:rsidRPr="00E023C6">
        <w:rPr>
          <w:sz w:val="28"/>
          <w:szCs w:val="28"/>
        </w:rPr>
        <w:t>тапсырысы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негізінде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оқыған</w:t>
      </w:r>
      <w:proofErr w:type="spellEnd"/>
      <w:r w:rsidRPr="00E023C6">
        <w:rPr>
          <w:sz w:val="28"/>
          <w:szCs w:val="28"/>
        </w:rPr>
        <w:t xml:space="preserve"> 2024 </w:t>
      </w:r>
      <w:proofErr w:type="spellStart"/>
      <w:r w:rsidRPr="00E023C6">
        <w:rPr>
          <w:sz w:val="28"/>
          <w:szCs w:val="28"/>
        </w:rPr>
        <w:t>жылғы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түлектерді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жұмыспен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қамту</w:t>
      </w:r>
      <w:proofErr w:type="spellEnd"/>
      <w:r w:rsidRPr="00E023C6">
        <w:rPr>
          <w:sz w:val="28"/>
          <w:szCs w:val="28"/>
        </w:rPr>
        <w:t>, профессор-</w:t>
      </w:r>
      <w:proofErr w:type="spellStart"/>
      <w:r w:rsidRPr="00E023C6">
        <w:rPr>
          <w:sz w:val="28"/>
          <w:szCs w:val="28"/>
        </w:rPr>
        <w:t>оқытушылар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құрамының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экожүйеге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қанағаттану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деңгейі</w:t>
      </w:r>
      <w:proofErr w:type="spellEnd"/>
      <w:r w:rsidRPr="00E023C6">
        <w:rPr>
          <w:sz w:val="28"/>
          <w:szCs w:val="28"/>
        </w:rPr>
        <w:t xml:space="preserve">, </w:t>
      </w:r>
      <w:proofErr w:type="spellStart"/>
      <w:r w:rsidRPr="00E023C6">
        <w:rPr>
          <w:sz w:val="28"/>
          <w:szCs w:val="28"/>
        </w:rPr>
        <w:t>Университеттің</w:t>
      </w:r>
      <w:proofErr w:type="spellEnd"/>
      <w:r w:rsidRPr="00E023C6">
        <w:rPr>
          <w:sz w:val="28"/>
          <w:szCs w:val="28"/>
        </w:rPr>
        <w:t xml:space="preserve"> профессор-</w:t>
      </w:r>
      <w:proofErr w:type="spellStart"/>
      <w:r w:rsidRPr="00E023C6">
        <w:rPr>
          <w:sz w:val="28"/>
          <w:szCs w:val="28"/>
        </w:rPr>
        <w:t>оқытушылар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құрамын</w:t>
      </w:r>
      <w:proofErr w:type="spellEnd"/>
      <w:r w:rsidRPr="00E023C6">
        <w:rPr>
          <w:sz w:val="28"/>
          <w:szCs w:val="28"/>
        </w:rPr>
        <w:t xml:space="preserve"> «</w:t>
      </w:r>
      <w:proofErr w:type="spellStart"/>
      <w:r w:rsidRPr="00E023C6">
        <w:rPr>
          <w:sz w:val="28"/>
          <w:szCs w:val="28"/>
        </w:rPr>
        <w:t>Жылдың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үздік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оқытушысы</w:t>
      </w:r>
      <w:proofErr w:type="spellEnd"/>
      <w:r w:rsidRPr="00E023C6">
        <w:rPr>
          <w:sz w:val="28"/>
          <w:szCs w:val="28"/>
        </w:rPr>
        <w:t xml:space="preserve">» </w:t>
      </w:r>
      <w:proofErr w:type="spellStart"/>
      <w:r w:rsidRPr="00E023C6">
        <w:rPr>
          <w:sz w:val="28"/>
          <w:szCs w:val="28"/>
        </w:rPr>
        <w:t>конкурсына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қатысуға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ұсыну</w:t>
      </w:r>
      <w:proofErr w:type="spellEnd"/>
      <w:r w:rsidRPr="00E023C6">
        <w:rPr>
          <w:sz w:val="28"/>
          <w:szCs w:val="28"/>
        </w:rPr>
        <w:t xml:space="preserve">, </w:t>
      </w:r>
      <w:proofErr w:type="spellStart"/>
      <w:r w:rsidRPr="00E023C6">
        <w:rPr>
          <w:sz w:val="28"/>
          <w:szCs w:val="28"/>
        </w:rPr>
        <w:t>білім</w:t>
      </w:r>
      <w:proofErr w:type="spellEnd"/>
      <w:r w:rsidRPr="00E023C6">
        <w:rPr>
          <w:sz w:val="28"/>
          <w:szCs w:val="28"/>
        </w:rPr>
        <w:t xml:space="preserve"> беру </w:t>
      </w:r>
      <w:proofErr w:type="spellStart"/>
      <w:r w:rsidRPr="00E023C6">
        <w:rPr>
          <w:sz w:val="28"/>
          <w:szCs w:val="28"/>
        </w:rPr>
        <w:t>бағдарламаларын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іске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асырудың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тиімділігі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және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т.б</w:t>
      </w:r>
      <w:proofErr w:type="spellEnd"/>
      <w:r w:rsidRPr="00E023C6">
        <w:rPr>
          <w:sz w:val="28"/>
          <w:szCs w:val="28"/>
        </w:rPr>
        <w:t xml:space="preserve">. </w:t>
      </w:r>
      <w:proofErr w:type="spellStart"/>
      <w:r w:rsidRPr="00E023C6">
        <w:rPr>
          <w:sz w:val="28"/>
          <w:szCs w:val="28"/>
        </w:rPr>
        <w:t>мәселелер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қаралды</w:t>
      </w:r>
      <w:proofErr w:type="spellEnd"/>
      <w:r w:rsidRPr="00E023C6">
        <w:rPr>
          <w:sz w:val="28"/>
          <w:szCs w:val="28"/>
        </w:rPr>
        <w:t>.</w:t>
      </w:r>
    </w:p>
    <w:p w14:paraId="117BEE53" w14:textId="77777777" w:rsidR="00E023C6" w:rsidRP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3C6">
        <w:rPr>
          <w:sz w:val="28"/>
          <w:szCs w:val="28"/>
        </w:rPr>
        <w:t xml:space="preserve">2 </w:t>
      </w:r>
      <w:proofErr w:type="spellStart"/>
      <w:r w:rsidRPr="00E023C6">
        <w:rPr>
          <w:sz w:val="28"/>
          <w:szCs w:val="28"/>
        </w:rPr>
        <w:t>мәселе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бойынша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ақпарат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назарға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алынды</w:t>
      </w:r>
      <w:proofErr w:type="spellEnd"/>
      <w:r w:rsidRPr="00E023C6">
        <w:rPr>
          <w:sz w:val="28"/>
          <w:szCs w:val="28"/>
        </w:rPr>
        <w:t xml:space="preserve">. </w:t>
      </w:r>
      <w:proofErr w:type="spellStart"/>
      <w:r w:rsidRPr="00E023C6">
        <w:rPr>
          <w:sz w:val="28"/>
          <w:szCs w:val="28"/>
        </w:rPr>
        <w:t>Қалған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қаралған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мәселелер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бойынша</w:t>
      </w:r>
      <w:proofErr w:type="spellEnd"/>
      <w:r w:rsidRPr="00E023C6">
        <w:rPr>
          <w:sz w:val="28"/>
          <w:szCs w:val="28"/>
        </w:rPr>
        <w:t xml:space="preserve"> 19 </w:t>
      </w:r>
      <w:proofErr w:type="spellStart"/>
      <w:r w:rsidRPr="00E023C6">
        <w:rPr>
          <w:sz w:val="28"/>
          <w:szCs w:val="28"/>
        </w:rPr>
        <w:t>тармақтан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тұратын</w:t>
      </w:r>
      <w:proofErr w:type="spellEnd"/>
      <w:r w:rsidRPr="00E023C6">
        <w:rPr>
          <w:sz w:val="28"/>
          <w:szCs w:val="28"/>
        </w:rPr>
        <w:t xml:space="preserve"> 6 </w:t>
      </w:r>
      <w:proofErr w:type="spellStart"/>
      <w:r w:rsidRPr="00E023C6">
        <w:rPr>
          <w:sz w:val="28"/>
          <w:szCs w:val="28"/>
        </w:rPr>
        <w:t>шешім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қабылданды</w:t>
      </w:r>
      <w:proofErr w:type="spellEnd"/>
      <w:r w:rsidRPr="00E023C6">
        <w:rPr>
          <w:sz w:val="28"/>
          <w:szCs w:val="28"/>
        </w:rPr>
        <w:t>.</w:t>
      </w:r>
    </w:p>
    <w:p w14:paraId="51F145AF" w14:textId="77777777" w:rsid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72A8EA" w14:textId="59028D3D" w:rsidR="00E023C6" w:rsidRP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023C6">
        <w:rPr>
          <w:sz w:val="28"/>
          <w:szCs w:val="28"/>
        </w:rPr>
        <w:t>Бүгінгі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күні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Ғылыми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кеңес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шешімдерінің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орындалу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жағдайы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бойынша</w:t>
      </w:r>
      <w:proofErr w:type="spellEnd"/>
      <w:r w:rsidRPr="00E023C6">
        <w:rPr>
          <w:sz w:val="28"/>
          <w:szCs w:val="28"/>
        </w:rPr>
        <w:t>:</w:t>
      </w:r>
    </w:p>
    <w:p w14:paraId="38BCCE72" w14:textId="77777777" w:rsid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C6ECC6" w14:textId="300B3353" w:rsidR="00E023C6" w:rsidRP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023C6">
        <w:rPr>
          <w:sz w:val="28"/>
          <w:szCs w:val="28"/>
        </w:rPr>
        <w:t>Орындалмағандары</w:t>
      </w:r>
      <w:proofErr w:type="spellEnd"/>
      <w:r w:rsidRPr="00E023C6">
        <w:rPr>
          <w:sz w:val="28"/>
          <w:szCs w:val="28"/>
        </w:rPr>
        <w:t xml:space="preserve"> – </w:t>
      </w:r>
      <w:proofErr w:type="spellStart"/>
      <w:r w:rsidRPr="00E023C6">
        <w:rPr>
          <w:sz w:val="28"/>
          <w:szCs w:val="28"/>
        </w:rPr>
        <w:t>жоқ</w:t>
      </w:r>
      <w:proofErr w:type="spellEnd"/>
    </w:p>
    <w:p w14:paraId="06881A06" w14:textId="77777777" w:rsid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766AFB" w14:textId="3E48B658" w:rsidR="00E023C6" w:rsidRPr="00E023C6" w:rsidRDefault="00E023C6" w:rsidP="00E023C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023C6">
        <w:rPr>
          <w:sz w:val="28"/>
          <w:szCs w:val="28"/>
        </w:rPr>
        <w:t>Оның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ішінде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орындау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мерзімі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әлі</w:t>
      </w:r>
      <w:proofErr w:type="spellEnd"/>
      <w:r w:rsidRPr="00E023C6">
        <w:rPr>
          <w:sz w:val="28"/>
          <w:szCs w:val="28"/>
        </w:rPr>
        <w:t xml:space="preserve"> </w:t>
      </w:r>
      <w:proofErr w:type="spellStart"/>
      <w:r w:rsidRPr="00E023C6">
        <w:rPr>
          <w:sz w:val="28"/>
          <w:szCs w:val="28"/>
        </w:rPr>
        <w:t>келмегендері</w:t>
      </w:r>
      <w:proofErr w:type="spellEnd"/>
      <w:r w:rsidRPr="00E023C6">
        <w:rPr>
          <w:sz w:val="28"/>
          <w:szCs w:val="28"/>
        </w:rPr>
        <w:t xml:space="preserve"> – 12 </w:t>
      </w:r>
      <w:proofErr w:type="spellStart"/>
      <w:r w:rsidRPr="00E023C6">
        <w:rPr>
          <w:sz w:val="28"/>
          <w:szCs w:val="28"/>
        </w:rPr>
        <w:t>шешім</w:t>
      </w:r>
      <w:proofErr w:type="spellEnd"/>
    </w:p>
    <w:p w14:paraId="7012F507" w14:textId="1A075FA6" w:rsidR="009510C6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sectPr w:rsidR="009510C6" w:rsidSect="0050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67DCC"/>
    <w:multiLevelType w:val="hybridMultilevel"/>
    <w:tmpl w:val="4B04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0"/>
    <w:rsid w:val="00023FA2"/>
    <w:rsid w:val="00044A5E"/>
    <w:rsid w:val="000A5A70"/>
    <w:rsid w:val="000D545C"/>
    <w:rsid w:val="00267510"/>
    <w:rsid w:val="002F5019"/>
    <w:rsid w:val="00334C92"/>
    <w:rsid w:val="0036670E"/>
    <w:rsid w:val="00387A94"/>
    <w:rsid w:val="003C669F"/>
    <w:rsid w:val="00457A16"/>
    <w:rsid w:val="00477DD6"/>
    <w:rsid w:val="005036F1"/>
    <w:rsid w:val="00546AAD"/>
    <w:rsid w:val="005D5FE2"/>
    <w:rsid w:val="00610E94"/>
    <w:rsid w:val="00765990"/>
    <w:rsid w:val="0077261F"/>
    <w:rsid w:val="007E32A2"/>
    <w:rsid w:val="009510C6"/>
    <w:rsid w:val="00984700"/>
    <w:rsid w:val="00A04138"/>
    <w:rsid w:val="00BA4D0B"/>
    <w:rsid w:val="00BE0E60"/>
    <w:rsid w:val="00CB5BC4"/>
    <w:rsid w:val="00CE54D7"/>
    <w:rsid w:val="00D84870"/>
    <w:rsid w:val="00DA5E32"/>
    <w:rsid w:val="00DD5E0F"/>
    <w:rsid w:val="00E023C6"/>
    <w:rsid w:val="00F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3F58"/>
  <w15:docId w15:val="{8BD8C760-3706-49F5-94BF-80405EB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75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67510"/>
  </w:style>
  <w:style w:type="paragraph" w:customStyle="1" w:styleId="Standard">
    <w:name w:val="Standard"/>
    <w:rsid w:val="002675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67510"/>
    <w:pPr>
      <w:widowControl w:val="0"/>
      <w:autoSpaceDE w:val="0"/>
      <w:autoSpaceDN w:val="0"/>
      <w:adjustRightInd w:val="0"/>
      <w:spacing w:after="0" w:line="317" w:lineRule="exact"/>
      <w:ind w:firstLine="4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67510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BA4D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A4D0B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BA4D0B"/>
    <w:rPr>
      <w:i/>
      <w:iCs/>
    </w:rPr>
  </w:style>
  <w:style w:type="table" w:styleId="a8">
    <w:name w:val="Table Grid"/>
    <w:basedOn w:val="a1"/>
    <w:uiPriority w:val="59"/>
    <w:rsid w:val="000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023FA2"/>
  </w:style>
  <w:style w:type="paragraph" w:styleId="a9">
    <w:name w:val="Balloon Text"/>
    <w:basedOn w:val="a"/>
    <w:link w:val="aa"/>
    <w:uiPriority w:val="99"/>
    <w:semiHidden/>
    <w:unhideWhenUsed/>
    <w:rsid w:val="00A0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41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36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0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02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KRU-3-315</cp:lastModifiedBy>
  <cp:revision>27</cp:revision>
  <cp:lastPrinted>2023-12-27T03:28:00Z</cp:lastPrinted>
  <dcterms:created xsi:type="dcterms:W3CDTF">2020-12-20T10:09:00Z</dcterms:created>
  <dcterms:modified xsi:type="dcterms:W3CDTF">2026-01-27T03:15:00Z</dcterms:modified>
</cp:coreProperties>
</file>