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243" w:type="pct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4"/>
        <w:gridCol w:w="5870"/>
      </w:tblGrid>
      <w:tr w:rsidR="00DE0667" w:rsidRPr="00597E52">
        <w:tc>
          <w:tcPr>
            <w:tcW w:w="21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667" w:rsidRPr="00597E52" w:rsidRDefault="005B5165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ja-JP"/>
              </w:rPr>
            </w:pPr>
            <w:r w:rsidRPr="00597E52">
              <w:rPr>
                <w:rFonts w:ascii="Times New Roman" w:hAnsi="Times New Roman"/>
                <w:sz w:val="28"/>
                <w:szCs w:val="28"/>
                <w:lang w:val="kk-KZ" w:eastAsia="ja-JP"/>
              </w:rPr>
              <w:t>Ахмет Байтұрсынұлы атындағы</w:t>
            </w:r>
          </w:p>
          <w:p w:rsidR="00DE0667" w:rsidRPr="00597E52" w:rsidRDefault="005B5165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ja-JP"/>
              </w:rPr>
            </w:pPr>
            <w:r w:rsidRPr="00597E52">
              <w:rPr>
                <w:rFonts w:ascii="Times New Roman" w:hAnsi="Times New Roman"/>
                <w:sz w:val="28"/>
                <w:szCs w:val="28"/>
                <w:lang w:val="kk-KZ" w:eastAsia="ja-JP"/>
              </w:rPr>
              <w:t>Қостанай</w:t>
            </w:r>
            <w:r w:rsidRPr="00597E52">
              <w:rPr>
                <w:rFonts w:ascii="Times New Roman" w:hAnsi="Times New Roman"/>
                <w:sz w:val="28"/>
                <w:szCs w:val="28"/>
                <w:lang w:val="kk-KZ" w:eastAsia="ja-JP"/>
              </w:rPr>
              <w:t xml:space="preserve"> өңірлік университеті»</w:t>
            </w:r>
          </w:p>
          <w:p w:rsidR="00DE0667" w:rsidRPr="00597E52" w:rsidRDefault="005B5165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ja-JP"/>
              </w:rPr>
            </w:pPr>
            <w:r w:rsidRPr="00597E52">
              <w:rPr>
                <w:rFonts w:ascii="Times New Roman" w:hAnsi="Times New Roman"/>
                <w:sz w:val="28"/>
                <w:szCs w:val="28"/>
                <w:lang w:val="kk-KZ" w:eastAsia="ja-JP"/>
              </w:rPr>
              <w:t>КеАҚ</w:t>
            </w:r>
          </w:p>
        </w:tc>
        <w:tc>
          <w:tcPr>
            <w:tcW w:w="28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667" w:rsidRPr="00597E52" w:rsidRDefault="005B5165">
            <w:pPr>
              <w:spacing w:line="256" w:lineRule="auto"/>
              <w:ind w:left="1027"/>
              <w:jc w:val="center"/>
              <w:rPr>
                <w:rFonts w:ascii="Times New Roman" w:hAnsi="Times New Roman"/>
                <w:sz w:val="28"/>
                <w:szCs w:val="28"/>
                <w:lang w:val="kk-KZ" w:eastAsia="ja-JP"/>
              </w:rPr>
            </w:pPr>
            <w:r w:rsidRPr="00597E52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-212725</wp:posOffset>
                  </wp:positionH>
                  <wp:positionV relativeFrom="paragraph">
                    <wp:posOffset>74295</wp:posOffset>
                  </wp:positionV>
                  <wp:extent cx="972820" cy="8667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820" cy="866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97E52">
              <w:rPr>
                <w:rFonts w:ascii="Times New Roman" w:hAnsi="Times New Roman"/>
                <w:sz w:val="28"/>
                <w:szCs w:val="28"/>
                <w:lang w:val="kk-KZ" w:eastAsia="ja-JP"/>
              </w:rPr>
              <w:t>НАО «Костанайский региональный университет имени Ахмет Байтұрсынұлы»</w:t>
            </w:r>
          </w:p>
        </w:tc>
      </w:tr>
      <w:tr w:rsidR="00DE0667" w:rsidRPr="00597E52">
        <w:tc>
          <w:tcPr>
            <w:tcW w:w="21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667" w:rsidRPr="00597E52" w:rsidRDefault="005B5165">
            <w:pPr>
              <w:spacing w:line="256" w:lineRule="auto"/>
              <w:ind w:left="283"/>
              <w:rPr>
                <w:rFonts w:ascii="Times New Roman" w:hAnsi="Times New Roman"/>
                <w:b/>
                <w:sz w:val="28"/>
                <w:szCs w:val="28"/>
                <w:lang w:eastAsia="ja-JP"/>
              </w:rPr>
            </w:pPr>
            <w:r w:rsidRPr="00597E52">
              <w:rPr>
                <w:rFonts w:ascii="Times New Roman" w:hAnsi="Times New Roman"/>
                <w:b/>
                <w:sz w:val="28"/>
                <w:szCs w:val="28"/>
                <w:lang w:eastAsia="ja-JP"/>
              </w:rPr>
              <w:t> </w:t>
            </w:r>
          </w:p>
        </w:tc>
        <w:tc>
          <w:tcPr>
            <w:tcW w:w="28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667" w:rsidRPr="00597E52" w:rsidRDefault="005B5165">
            <w:pPr>
              <w:spacing w:line="256" w:lineRule="auto"/>
              <w:ind w:left="1027" w:firstLine="283"/>
              <w:jc w:val="right"/>
              <w:rPr>
                <w:rFonts w:ascii="Times New Roman" w:hAnsi="Times New Roman"/>
                <w:b/>
                <w:sz w:val="28"/>
                <w:szCs w:val="28"/>
                <w:lang w:eastAsia="ja-JP"/>
              </w:rPr>
            </w:pPr>
            <w:r w:rsidRPr="00597E52">
              <w:rPr>
                <w:rFonts w:ascii="Times New Roman" w:hAnsi="Times New Roman"/>
                <w:b/>
                <w:sz w:val="28"/>
                <w:szCs w:val="28"/>
                <w:lang w:eastAsia="ja-JP"/>
              </w:rPr>
              <w:t> </w:t>
            </w:r>
          </w:p>
        </w:tc>
      </w:tr>
      <w:tr w:rsidR="00DE0667" w:rsidRPr="00597E52">
        <w:tc>
          <w:tcPr>
            <w:tcW w:w="21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667" w:rsidRPr="00597E52" w:rsidRDefault="005B5165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 w:rsidRPr="00597E52"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АНЫҚТАМА</w:t>
            </w:r>
          </w:p>
        </w:tc>
        <w:tc>
          <w:tcPr>
            <w:tcW w:w="28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667" w:rsidRPr="00597E52" w:rsidRDefault="005B5165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 w:rsidRPr="00597E5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СПРАВКА</w:t>
            </w:r>
          </w:p>
        </w:tc>
      </w:tr>
      <w:tr w:rsidR="00DE0667" w:rsidRPr="00597E52">
        <w:tc>
          <w:tcPr>
            <w:tcW w:w="21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667" w:rsidRPr="00597E52" w:rsidRDefault="005B5165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</w:pPr>
            <w:proofErr w:type="spellStart"/>
            <w:r w:rsidRPr="00597E52"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>Ғылыми</w:t>
            </w:r>
            <w:proofErr w:type="spellEnd"/>
            <w:r w:rsidRPr="00597E52"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597E52"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>кеңес</w:t>
            </w:r>
            <w:proofErr w:type="spellEnd"/>
            <w:r w:rsidRPr="00597E52"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597E52"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>отырысына</w:t>
            </w:r>
            <w:proofErr w:type="spellEnd"/>
          </w:p>
        </w:tc>
        <w:tc>
          <w:tcPr>
            <w:tcW w:w="28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667" w:rsidRPr="00597E52" w:rsidRDefault="005B5165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</w:pPr>
            <w:r w:rsidRPr="00597E52"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>на заседание Ученого совета</w:t>
            </w:r>
          </w:p>
        </w:tc>
      </w:tr>
      <w:tr w:rsidR="00DE0667" w:rsidRPr="00597E52">
        <w:tc>
          <w:tcPr>
            <w:tcW w:w="21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667" w:rsidRPr="00597E52" w:rsidRDefault="00597E52">
            <w:pPr>
              <w:spacing w:line="256" w:lineRule="auto"/>
              <w:ind w:left="283" w:hanging="283"/>
              <w:jc w:val="center"/>
              <w:rPr>
                <w:rFonts w:ascii="Times New Roman" w:hAnsi="Times New Roman"/>
                <w:sz w:val="28"/>
                <w:szCs w:val="28"/>
                <w:lang w:val="kk-KZ" w:eastAsia="ja-JP"/>
              </w:rPr>
            </w:pPr>
            <w:r w:rsidRPr="00597E52">
              <w:rPr>
                <w:rFonts w:ascii="Times New Roman" w:hAnsi="Times New Roman"/>
                <w:sz w:val="28"/>
                <w:szCs w:val="28"/>
                <w:lang w:val="kk-KZ" w:eastAsia="ja-JP"/>
              </w:rPr>
              <w:t>28.05</w:t>
            </w:r>
            <w:r w:rsidR="005B5165" w:rsidRPr="00597E52">
              <w:rPr>
                <w:rFonts w:ascii="Times New Roman" w:hAnsi="Times New Roman"/>
                <w:sz w:val="28"/>
                <w:szCs w:val="28"/>
                <w:lang w:val="kk-KZ" w:eastAsia="ja-JP"/>
              </w:rPr>
              <w:t>.202</w:t>
            </w:r>
            <w:r w:rsidR="005B5165" w:rsidRPr="00597E52">
              <w:rPr>
                <w:rFonts w:ascii="Times New Roman" w:hAnsi="Times New Roman"/>
                <w:sz w:val="28"/>
                <w:szCs w:val="28"/>
                <w:lang w:val="en-US" w:eastAsia="ja-JP"/>
              </w:rPr>
              <w:t>5</w:t>
            </w:r>
            <w:r w:rsidR="005B5165" w:rsidRPr="00597E52">
              <w:rPr>
                <w:rFonts w:ascii="Times New Roman" w:hAnsi="Times New Roman"/>
                <w:sz w:val="28"/>
                <w:szCs w:val="28"/>
                <w:lang w:val="kk-KZ" w:eastAsia="ja-JP"/>
              </w:rPr>
              <w:t xml:space="preserve"> ж.</w:t>
            </w:r>
          </w:p>
        </w:tc>
        <w:tc>
          <w:tcPr>
            <w:tcW w:w="28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667" w:rsidRPr="00597E52" w:rsidRDefault="00597E52">
            <w:pPr>
              <w:spacing w:line="256" w:lineRule="auto"/>
              <w:ind w:left="283"/>
              <w:jc w:val="center"/>
              <w:rPr>
                <w:rFonts w:ascii="Times New Roman" w:hAnsi="Times New Roman"/>
                <w:sz w:val="28"/>
                <w:szCs w:val="28"/>
                <w:lang w:val="kk-KZ" w:eastAsia="ja-JP"/>
              </w:rPr>
            </w:pPr>
            <w:r w:rsidRPr="00597E52">
              <w:rPr>
                <w:rFonts w:ascii="Times New Roman" w:hAnsi="Times New Roman"/>
                <w:sz w:val="28"/>
                <w:szCs w:val="28"/>
                <w:lang w:val="kk-KZ" w:eastAsia="ja-JP"/>
              </w:rPr>
              <w:t>28.05</w:t>
            </w:r>
            <w:r w:rsidR="005B5165" w:rsidRPr="00597E52">
              <w:rPr>
                <w:rFonts w:ascii="Times New Roman" w:hAnsi="Times New Roman"/>
                <w:sz w:val="28"/>
                <w:szCs w:val="28"/>
                <w:lang w:val="kk-KZ" w:eastAsia="ja-JP"/>
              </w:rPr>
              <w:t>.202</w:t>
            </w:r>
            <w:r w:rsidR="005B5165" w:rsidRPr="00597E52">
              <w:rPr>
                <w:rFonts w:ascii="Times New Roman" w:hAnsi="Times New Roman"/>
                <w:sz w:val="28"/>
                <w:szCs w:val="28"/>
                <w:lang w:val="en-US" w:eastAsia="ja-JP"/>
              </w:rPr>
              <w:t>5</w:t>
            </w:r>
            <w:r w:rsidR="005B5165" w:rsidRPr="00597E52">
              <w:rPr>
                <w:rFonts w:ascii="Times New Roman" w:hAnsi="Times New Roman"/>
                <w:sz w:val="28"/>
                <w:szCs w:val="28"/>
                <w:lang w:val="kk-KZ" w:eastAsia="ja-JP"/>
              </w:rPr>
              <w:t xml:space="preserve"> г.</w:t>
            </w:r>
          </w:p>
        </w:tc>
      </w:tr>
      <w:tr w:rsidR="00DE0667" w:rsidRPr="00597E52">
        <w:tc>
          <w:tcPr>
            <w:tcW w:w="21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667" w:rsidRPr="00597E52" w:rsidRDefault="005B5165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97E52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Қостанай</w:t>
            </w:r>
            <w:r w:rsidRPr="00597E52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 </w:t>
            </w:r>
            <w:r w:rsidRPr="00597E52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қаласы</w:t>
            </w:r>
          </w:p>
        </w:tc>
        <w:tc>
          <w:tcPr>
            <w:tcW w:w="28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667" w:rsidRPr="00597E52" w:rsidRDefault="005B5165">
            <w:pPr>
              <w:spacing w:line="256" w:lineRule="auto"/>
              <w:ind w:left="283"/>
              <w:jc w:val="center"/>
              <w:rPr>
                <w:rFonts w:ascii="Times New Roman" w:hAnsi="Times New Roman"/>
                <w:sz w:val="28"/>
                <w:szCs w:val="28"/>
                <w:lang w:eastAsia="ja-JP"/>
              </w:rPr>
            </w:pPr>
            <w:r w:rsidRPr="00597E52">
              <w:rPr>
                <w:rFonts w:ascii="Times New Roman" w:hAnsi="Times New Roman"/>
                <w:sz w:val="28"/>
                <w:szCs w:val="28"/>
                <w:lang w:val="kk-KZ" w:eastAsia="ja-JP"/>
              </w:rPr>
              <w:t>город Костанай</w:t>
            </w:r>
          </w:p>
        </w:tc>
      </w:tr>
    </w:tbl>
    <w:p w:rsidR="00DE0667" w:rsidRPr="00597E52" w:rsidRDefault="00DE066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0667" w:rsidRPr="00597E52" w:rsidRDefault="00DE0667">
      <w:pPr>
        <w:pStyle w:val="a5"/>
        <w:ind w:firstLine="85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E0667" w:rsidRPr="00597E52" w:rsidRDefault="005B5165">
      <w:pPr>
        <w:rPr>
          <w:rFonts w:ascii="Times New Roman" w:hAnsi="Times New Roman" w:cs="Times New Roman"/>
          <w:sz w:val="28"/>
          <w:szCs w:val="28"/>
        </w:rPr>
      </w:pPr>
      <w:r w:rsidRPr="00597E5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>Утверждение академических календарей, образовательных программ, рабочих учебных планов, Положения о планировании учебной работы и педагогической нагрузки ППС на 2025</w:t>
      </w:r>
      <w:r w:rsidRPr="00597E5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kk-KZ" w:eastAsia="en-US"/>
        </w:rPr>
        <w:t>-</w:t>
      </w:r>
      <w:r w:rsidRPr="00597E5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 xml:space="preserve">2026 учебный год </w:t>
      </w:r>
    </w:p>
    <w:p w:rsidR="00DE0667" w:rsidRPr="00597E52" w:rsidRDefault="00DE06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0667" w:rsidRPr="00597E52" w:rsidRDefault="005B516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E52">
        <w:rPr>
          <w:rFonts w:ascii="Times New Roman" w:hAnsi="Times New Roman" w:cs="Times New Roman"/>
          <w:b/>
          <w:sz w:val="28"/>
          <w:szCs w:val="28"/>
        </w:rPr>
        <w:t xml:space="preserve">Академические календари. </w:t>
      </w:r>
    </w:p>
    <w:p w:rsidR="00DE0667" w:rsidRPr="00597E52" w:rsidRDefault="005B51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E52">
        <w:rPr>
          <w:rFonts w:ascii="Times New Roman" w:hAnsi="Times New Roman" w:cs="Times New Roman"/>
          <w:sz w:val="28"/>
          <w:szCs w:val="28"/>
        </w:rPr>
        <w:t xml:space="preserve">Академические календари на 2025-2026 </w:t>
      </w:r>
      <w:proofErr w:type="spellStart"/>
      <w:proofErr w:type="gramStart"/>
      <w:r w:rsidRPr="00597E52"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proofErr w:type="gramEnd"/>
      <w:r w:rsidRPr="00597E52">
        <w:rPr>
          <w:rFonts w:ascii="Times New Roman" w:hAnsi="Times New Roman" w:cs="Times New Roman"/>
          <w:sz w:val="28"/>
          <w:szCs w:val="28"/>
        </w:rPr>
        <w:t xml:space="preserve"> по ОП высшего и послевузовского образования (магистратура научно-педагогического направления) разработаны заместителями директоров по учебной работе ПИ и факультетов при координации отде</w:t>
      </w:r>
      <w:r w:rsidRPr="00597E52">
        <w:rPr>
          <w:rFonts w:ascii="Times New Roman" w:hAnsi="Times New Roman" w:cs="Times New Roman"/>
          <w:sz w:val="28"/>
          <w:szCs w:val="28"/>
        </w:rPr>
        <w:t xml:space="preserve">ла образовательных программ.  Академические календари по ОП послевузовского образования (магистратура профильного направления, для лиц, закончивших профильную магистратуру, докторантура, разработаны общие для всех ОП. </w:t>
      </w:r>
    </w:p>
    <w:p w:rsidR="00DE0667" w:rsidRPr="00597E52" w:rsidRDefault="005B51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E5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597E5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97E52">
        <w:rPr>
          <w:rFonts w:ascii="Times New Roman" w:hAnsi="Times New Roman" w:cs="Times New Roman"/>
          <w:sz w:val="28"/>
          <w:szCs w:val="28"/>
        </w:rPr>
        <w:t xml:space="preserve"> </w:t>
      </w:r>
      <w:r w:rsidRPr="00597E52">
        <w:rPr>
          <w:rFonts w:ascii="Times New Roman" w:hAnsi="Times New Roman" w:cs="Times New Roman"/>
          <w:sz w:val="28"/>
          <w:szCs w:val="28"/>
          <w:lang w:val="kk-KZ"/>
        </w:rPr>
        <w:t>изменениями п.27 ГОС</w:t>
      </w:r>
      <w:r w:rsidRPr="00597E52">
        <w:rPr>
          <w:rFonts w:ascii="Times New Roman" w:hAnsi="Times New Roman" w:cs="Times New Roman"/>
          <w:sz w:val="28"/>
          <w:szCs w:val="28"/>
          <w:lang w:val="kk-KZ"/>
        </w:rPr>
        <w:t>О допускается использование комбинированных форм организации академических периодов</w:t>
      </w:r>
      <w:r w:rsidRPr="00597E52">
        <w:rPr>
          <w:rFonts w:ascii="Times New Roman" w:hAnsi="Times New Roman" w:cs="Times New Roman"/>
          <w:sz w:val="28"/>
          <w:szCs w:val="28"/>
        </w:rPr>
        <w:t>. В связи с этим на ОП 6В07105 Машиностроение, 6В08101 Агрономия пересмотрен формат академических периодов, кроме этого, исключены практики в период отпуска преподавателей (</w:t>
      </w:r>
      <w:r w:rsidRPr="00597E52">
        <w:rPr>
          <w:rFonts w:ascii="Times New Roman" w:hAnsi="Times New Roman" w:cs="Times New Roman"/>
          <w:sz w:val="28"/>
          <w:szCs w:val="28"/>
        </w:rPr>
        <w:t xml:space="preserve">август). Также меняется формат прохождения педагогической практики на 3 курсе по ОП области образования 6В01 Педагогические науки. </w:t>
      </w:r>
    </w:p>
    <w:p w:rsidR="00DE0667" w:rsidRPr="00597E52" w:rsidRDefault="005B51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E52">
        <w:rPr>
          <w:rFonts w:ascii="Times New Roman" w:hAnsi="Times New Roman" w:cs="Times New Roman"/>
          <w:sz w:val="28"/>
          <w:szCs w:val="28"/>
        </w:rPr>
        <w:t>На данный момент процедура разработки академических календарей по реализуемым в университете образовательным программам бака</w:t>
      </w:r>
      <w:r w:rsidRPr="00597E52">
        <w:rPr>
          <w:rFonts w:ascii="Times New Roman" w:hAnsi="Times New Roman" w:cs="Times New Roman"/>
          <w:sz w:val="28"/>
          <w:szCs w:val="28"/>
        </w:rPr>
        <w:t>лавриата, магистратуры, докторантуры завершена. Академические календари прошли процедуру согласования и готовы к утверждению.</w:t>
      </w:r>
    </w:p>
    <w:p w:rsidR="00DE0667" w:rsidRPr="00597E52" w:rsidRDefault="00DE0667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0667" w:rsidRPr="00597E52" w:rsidRDefault="005B516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E52">
        <w:rPr>
          <w:rFonts w:ascii="Times New Roman" w:hAnsi="Times New Roman" w:cs="Times New Roman"/>
          <w:b/>
          <w:sz w:val="28"/>
          <w:szCs w:val="28"/>
        </w:rPr>
        <w:t>Образовательные программы и учебные планы.</w:t>
      </w:r>
    </w:p>
    <w:p w:rsidR="00DE0667" w:rsidRPr="00597E52" w:rsidRDefault="005B5165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597E52">
        <w:rPr>
          <w:rFonts w:ascii="Times New Roman" w:hAnsi="Times New Roman"/>
          <w:sz w:val="28"/>
          <w:szCs w:val="28"/>
        </w:rPr>
        <w:t xml:space="preserve">Сегодня в ИС «Реестр ОП» НЦРВО </w:t>
      </w:r>
      <w:proofErr w:type="spellStart"/>
      <w:r w:rsidRPr="00597E52">
        <w:rPr>
          <w:rFonts w:ascii="Times New Roman" w:hAnsi="Times New Roman"/>
          <w:sz w:val="28"/>
          <w:szCs w:val="28"/>
        </w:rPr>
        <w:t>МНиВО</w:t>
      </w:r>
      <w:proofErr w:type="spellEnd"/>
      <w:r w:rsidRPr="00597E52">
        <w:rPr>
          <w:rFonts w:ascii="Times New Roman" w:hAnsi="Times New Roman"/>
          <w:sz w:val="28"/>
          <w:szCs w:val="28"/>
        </w:rPr>
        <w:t xml:space="preserve"> РК зарегистрировано 152 образовательных программ </w:t>
      </w:r>
      <w:r w:rsidRPr="00597E52">
        <w:rPr>
          <w:rFonts w:ascii="Times New Roman" w:hAnsi="Times New Roman"/>
          <w:sz w:val="28"/>
          <w:szCs w:val="28"/>
        </w:rPr>
        <w:t xml:space="preserve">высшего и послевузовского образования, из них 78 образовательных программ </w:t>
      </w:r>
      <w:proofErr w:type="spellStart"/>
      <w:r w:rsidRPr="00597E52">
        <w:rPr>
          <w:rFonts w:ascii="Times New Roman" w:hAnsi="Times New Roman"/>
          <w:sz w:val="28"/>
          <w:szCs w:val="28"/>
        </w:rPr>
        <w:t>бакалаврита</w:t>
      </w:r>
      <w:proofErr w:type="spellEnd"/>
      <w:r w:rsidRPr="00597E52">
        <w:rPr>
          <w:rFonts w:ascii="Times New Roman" w:hAnsi="Times New Roman"/>
          <w:sz w:val="28"/>
          <w:szCs w:val="28"/>
        </w:rPr>
        <w:t xml:space="preserve"> (специалитета) 27 направлений подготовки, 53 образовательных программ магистратуры (научно-педагогического и/или профильного направления) 18 направлений подготовки,  21 о</w:t>
      </w:r>
      <w:r w:rsidRPr="00597E52">
        <w:rPr>
          <w:rFonts w:ascii="Times New Roman" w:hAnsi="Times New Roman"/>
          <w:sz w:val="28"/>
          <w:szCs w:val="28"/>
        </w:rPr>
        <w:t xml:space="preserve">бразовательная  программа докторантуры 12 направлений подготовки. </w:t>
      </w:r>
      <w:proofErr w:type="gramStart"/>
      <w:r w:rsidRPr="00597E52">
        <w:rPr>
          <w:rFonts w:ascii="Times New Roman" w:hAnsi="Times New Roman"/>
          <w:sz w:val="28"/>
          <w:szCs w:val="28"/>
        </w:rPr>
        <w:t>Из 152 программ</w:t>
      </w:r>
      <w:proofErr w:type="gramEnd"/>
      <w:r w:rsidRPr="00597E52">
        <w:rPr>
          <w:rFonts w:ascii="Times New Roman" w:hAnsi="Times New Roman"/>
          <w:sz w:val="28"/>
          <w:szCs w:val="28"/>
        </w:rPr>
        <w:t xml:space="preserve"> действующих 106 программ, новых - 22, инновационных – 24. </w:t>
      </w:r>
    </w:p>
    <w:p w:rsidR="00DE0667" w:rsidRPr="00597E52" w:rsidRDefault="005B5165">
      <w:pPr>
        <w:pStyle w:val="a5"/>
        <w:spacing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7E52">
        <w:rPr>
          <w:rFonts w:ascii="Times New Roman" w:hAnsi="Times New Roman"/>
          <w:sz w:val="28"/>
          <w:szCs w:val="28"/>
        </w:rPr>
        <w:t>Отделром</w:t>
      </w:r>
      <w:proofErr w:type="spellEnd"/>
      <w:r w:rsidRPr="00597E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7E52">
        <w:rPr>
          <w:rFonts w:ascii="Times New Roman" w:hAnsi="Times New Roman"/>
          <w:sz w:val="28"/>
          <w:szCs w:val="28"/>
        </w:rPr>
        <w:t>образоватиельных</w:t>
      </w:r>
      <w:proofErr w:type="spellEnd"/>
      <w:r w:rsidRPr="00597E5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97E52">
        <w:rPr>
          <w:rFonts w:ascii="Times New Roman" w:hAnsi="Times New Roman"/>
          <w:sz w:val="28"/>
          <w:szCs w:val="28"/>
        </w:rPr>
        <w:t>программ  разработаны</w:t>
      </w:r>
      <w:proofErr w:type="gramEnd"/>
      <w:r w:rsidRPr="00597E52">
        <w:rPr>
          <w:rFonts w:ascii="Times New Roman" w:hAnsi="Times New Roman"/>
          <w:sz w:val="28"/>
          <w:szCs w:val="28"/>
        </w:rPr>
        <w:t xml:space="preserve"> и утверждены проректором по академическим вопросам </w:t>
      </w:r>
      <w:r w:rsidRPr="00597E52">
        <w:rPr>
          <w:rFonts w:ascii="Times New Roman" w:hAnsi="Times New Roman"/>
          <w:sz w:val="28"/>
          <w:szCs w:val="28"/>
        </w:rPr>
        <w:t xml:space="preserve">рекомендации по планированию </w:t>
      </w:r>
      <w:r w:rsidRPr="00597E52">
        <w:rPr>
          <w:rFonts w:ascii="Times New Roman" w:hAnsi="Times New Roman"/>
          <w:sz w:val="28"/>
          <w:szCs w:val="28"/>
        </w:rPr>
        <w:lastRenderedPageBreak/>
        <w:t>учебного процесса по образовательным программам высшего и послевузовского образования на 2025-2026 учебный год.</w:t>
      </w:r>
    </w:p>
    <w:p w:rsidR="00DE0667" w:rsidRPr="00597E52" w:rsidRDefault="005B516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97E52">
        <w:rPr>
          <w:rFonts w:ascii="Times New Roman" w:hAnsi="Times New Roman"/>
          <w:sz w:val="28"/>
          <w:szCs w:val="28"/>
        </w:rPr>
        <w:t xml:space="preserve">Образовательные программы в университете разрабатываются АК в соответствии с требованиями нормативных документов </w:t>
      </w:r>
      <w:proofErr w:type="spellStart"/>
      <w:r w:rsidRPr="00597E52">
        <w:rPr>
          <w:rFonts w:ascii="Times New Roman" w:hAnsi="Times New Roman"/>
          <w:sz w:val="28"/>
          <w:szCs w:val="28"/>
        </w:rPr>
        <w:t>МН</w:t>
      </w:r>
      <w:r w:rsidRPr="00597E52">
        <w:rPr>
          <w:rFonts w:ascii="Times New Roman" w:hAnsi="Times New Roman"/>
          <w:sz w:val="28"/>
          <w:szCs w:val="28"/>
        </w:rPr>
        <w:t>иВО</w:t>
      </w:r>
      <w:proofErr w:type="spellEnd"/>
      <w:r w:rsidRPr="00597E52">
        <w:rPr>
          <w:rFonts w:ascii="Times New Roman" w:hAnsi="Times New Roman"/>
          <w:sz w:val="28"/>
          <w:szCs w:val="28"/>
        </w:rPr>
        <w:t xml:space="preserve"> РК, Национальной и отраслевой рамок квалификаций, профессиональных стандартов (если имеются), Атласа новых профессий и компетенций Казахстана (если имеются) на основе анализа рынка труда и рекомендаций работодателей.</w:t>
      </w:r>
    </w:p>
    <w:p w:rsidR="00DE0667" w:rsidRPr="00597E52" w:rsidRDefault="005B516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E52">
        <w:rPr>
          <w:rFonts w:ascii="Times New Roman" w:hAnsi="Times New Roman"/>
          <w:sz w:val="28"/>
          <w:szCs w:val="28"/>
        </w:rPr>
        <w:t xml:space="preserve">В 2025 </w:t>
      </w:r>
      <w:proofErr w:type="gramStart"/>
      <w:r w:rsidRPr="00597E52">
        <w:rPr>
          <w:rFonts w:ascii="Times New Roman" w:hAnsi="Times New Roman"/>
          <w:sz w:val="28"/>
          <w:szCs w:val="28"/>
        </w:rPr>
        <w:t>году  разработаны</w:t>
      </w:r>
      <w:proofErr w:type="gramEnd"/>
      <w:r w:rsidRPr="00597E52">
        <w:rPr>
          <w:rFonts w:ascii="Times New Roman" w:hAnsi="Times New Roman"/>
          <w:sz w:val="28"/>
          <w:szCs w:val="28"/>
        </w:rPr>
        <w:t xml:space="preserve"> новые проф</w:t>
      </w:r>
      <w:r w:rsidRPr="00597E52">
        <w:rPr>
          <w:rFonts w:ascii="Times New Roman" w:hAnsi="Times New Roman"/>
          <w:sz w:val="28"/>
          <w:szCs w:val="28"/>
        </w:rPr>
        <w:t xml:space="preserve">ессиональные стандарты: "Бизнес аналитик", "Системный аналитик", «ПС для педагогов организаций образования». </w:t>
      </w:r>
    </w:p>
    <w:p w:rsidR="00DE0667" w:rsidRPr="00597E52" w:rsidRDefault="005B5165">
      <w:pPr>
        <w:ind w:firstLine="708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 w:rsidRPr="00597E52">
        <w:rPr>
          <w:rFonts w:ascii="Times New Roman" w:hAnsi="Times New Roman"/>
          <w:sz w:val="28"/>
          <w:szCs w:val="28"/>
        </w:rPr>
        <w:t xml:space="preserve">В связи с изменениями </w:t>
      </w:r>
      <w:r w:rsidRPr="00597E52">
        <w:rPr>
          <w:rFonts w:ascii="Times New Roman" w:hAnsi="Times New Roman"/>
          <w:sz w:val="28"/>
          <w:szCs w:val="28"/>
          <w:lang w:val="kk-KZ"/>
        </w:rPr>
        <w:t xml:space="preserve">ГОСО ВО в образовательные программы </w:t>
      </w:r>
      <w:bookmarkStart w:id="0" w:name="_Hlk166682093"/>
      <w:r w:rsidRPr="00597E52">
        <w:rPr>
          <w:rFonts w:ascii="Times New Roman" w:eastAsiaTheme="minorHAnsi" w:hAnsi="Times New Roman"/>
          <w:sz w:val="28"/>
          <w:szCs w:val="28"/>
          <w:lang w:val="kk-KZ" w:eastAsia="en-US"/>
        </w:rPr>
        <w:t>высшего образования внесены дополнения в РО</w:t>
      </w:r>
      <w:r w:rsidRPr="00597E52">
        <w:rPr>
          <w:rFonts w:ascii="Times New Roman" w:hAnsi="Times New Roman"/>
          <w:sz w:val="28"/>
          <w:szCs w:val="28"/>
        </w:rPr>
        <w:t>, направленные на освоение компетенций по при</w:t>
      </w:r>
      <w:r w:rsidRPr="00597E52">
        <w:rPr>
          <w:rFonts w:ascii="Times New Roman" w:hAnsi="Times New Roman"/>
          <w:sz w:val="28"/>
          <w:szCs w:val="28"/>
        </w:rPr>
        <w:t xml:space="preserve">менению искусственного интеллекта, также </w:t>
      </w:r>
      <w:r w:rsidRPr="00597E5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в ООД КВ включена дисциплина «Этика инклюзивного взаимодействия» (за исключением ОП области образования Педагогические науки), обновлено содержание дисциплины «Экология и основы безопасности жизнедеятельности» (доб</w:t>
      </w:r>
      <w:r w:rsidRPr="00597E5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авлены темы и разделы посвященные устойчивому развитию.</w:t>
      </w:r>
    </w:p>
    <w:p w:rsidR="00DE0667" w:rsidRPr="00597E52" w:rsidRDefault="005B5165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7E52">
        <w:rPr>
          <w:rFonts w:ascii="Times New Roman" w:hAnsi="Times New Roman" w:cs="Times New Roman"/>
          <w:sz w:val="28"/>
          <w:szCs w:val="28"/>
        </w:rPr>
        <w:t xml:space="preserve">В связи введением в действие ПС для педагогов организаций образования (Приказ МП РК от 24 февраля 2025 года № 31) дополнительно в перечень </w:t>
      </w:r>
      <w:proofErr w:type="spellStart"/>
      <w:proofErr w:type="gramStart"/>
      <w:r w:rsidRPr="00597E52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Pr="00597E52">
        <w:rPr>
          <w:rFonts w:ascii="Times New Roman" w:hAnsi="Times New Roman" w:cs="Times New Roman"/>
          <w:sz w:val="28"/>
          <w:szCs w:val="28"/>
        </w:rPr>
        <w:t xml:space="preserve">  включен</w:t>
      </w:r>
      <w:proofErr w:type="gramEnd"/>
      <w:r w:rsidRPr="00597E52">
        <w:rPr>
          <w:rFonts w:ascii="Times New Roman" w:hAnsi="Times New Roman" w:cs="Times New Roman"/>
          <w:sz w:val="28"/>
          <w:szCs w:val="28"/>
        </w:rPr>
        <w:t xml:space="preserve"> ПС для педагогов организаций образова</w:t>
      </w:r>
      <w:r w:rsidRPr="00597E52">
        <w:rPr>
          <w:rFonts w:ascii="Times New Roman" w:hAnsi="Times New Roman" w:cs="Times New Roman"/>
          <w:sz w:val="28"/>
          <w:szCs w:val="28"/>
        </w:rPr>
        <w:t>ния.</w:t>
      </w:r>
    </w:p>
    <w:p w:rsidR="00DE0667" w:rsidRPr="00597E52" w:rsidRDefault="005B5165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7E52">
        <w:rPr>
          <w:rFonts w:ascii="Times New Roman" w:hAnsi="Times New Roman" w:cs="Times New Roman"/>
          <w:sz w:val="28"/>
          <w:szCs w:val="28"/>
        </w:rPr>
        <w:t xml:space="preserve">По результатам мониторинга соответствия ОП ГОСО ВО и ПО (модульный принцип формирования ОП) из ОП магистратуры научно-педагогического направления для ОП 2025 года набора исключена дисциплина «Интенсивный казахский язык». </w:t>
      </w:r>
    </w:p>
    <w:p w:rsidR="00DE0667" w:rsidRPr="00597E52" w:rsidRDefault="005B51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7E52">
        <w:rPr>
          <w:rFonts w:ascii="Times New Roman" w:hAnsi="Times New Roman"/>
          <w:sz w:val="28"/>
          <w:szCs w:val="28"/>
        </w:rPr>
        <w:t>В соответствии изменениями п.</w:t>
      </w:r>
      <w:r w:rsidRPr="00597E52">
        <w:rPr>
          <w:rFonts w:ascii="Times New Roman" w:hAnsi="Times New Roman"/>
          <w:sz w:val="28"/>
          <w:szCs w:val="28"/>
        </w:rPr>
        <w:t xml:space="preserve"> 5 ГОСО ПО от 04.03.2025 г., в ОП магистратуры научно-педагогического направления обновлено содержание дисциплин «Педагогика высшей школы», «Психология управления», а в ОП магистратуры профильного направления, дисциплины БД ВК «Менеджмент» - 2 кредита, «Пс</w:t>
      </w:r>
      <w:r w:rsidRPr="00597E52">
        <w:rPr>
          <w:rFonts w:ascii="Times New Roman" w:hAnsi="Times New Roman"/>
          <w:sz w:val="28"/>
          <w:szCs w:val="28"/>
        </w:rPr>
        <w:t xml:space="preserve">ихология управления» заменены на новую дисциплину БД ВК «Менеджмент и </w:t>
      </w:r>
      <w:proofErr w:type="spellStart"/>
      <w:r w:rsidRPr="00597E52">
        <w:rPr>
          <w:rFonts w:ascii="Times New Roman" w:hAnsi="Times New Roman"/>
          <w:sz w:val="28"/>
          <w:szCs w:val="28"/>
        </w:rPr>
        <w:t>резилентное</w:t>
      </w:r>
      <w:proofErr w:type="spellEnd"/>
      <w:r w:rsidRPr="00597E52">
        <w:rPr>
          <w:rFonts w:ascii="Times New Roman" w:hAnsi="Times New Roman"/>
          <w:sz w:val="28"/>
          <w:szCs w:val="28"/>
        </w:rPr>
        <w:t xml:space="preserve"> лидерство» - 4 кредита. </w:t>
      </w:r>
    </w:p>
    <w:bookmarkEnd w:id="0"/>
    <w:p w:rsidR="00DE0667" w:rsidRPr="00597E52" w:rsidRDefault="005B516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97E52">
        <w:rPr>
          <w:rFonts w:ascii="Times New Roman" w:hAnsi="Times New Roman"/>
          <w:sz w:val="28"/>
          <w:szCs w:val="28"/>
        </w:rPr>
        <w:t xml:space="preserve">Академическими комитетами </w:t>
      </w:r>
      <w:r w:rsidRPr="00597E52">
        <w:rPr>
          <w:rFonts w:ascii="Times New Roman" w:hAnsi="Times New Roman"/>
          <w:sz w:val="28"/>
          <w:szCs w:val="28"/>
        </w:rPr>
        <w:t>проведён</w:t>
      </w:r>
      <w:r w:rsidRPr="00597E52">
        <w:rPr>
          <w:rFonts w:ascii="Times New Roman" w:hAnsi="Times New Roman"/>
          <w:sz w:val="28"/>
          <w:szCs w:val="28"/>
        </w:rPr>
        <w:t xml:space="preserve"> анализ потребностей рынка труда и необходимость разработки новых ОП докторов по профилю (в том числе доктора индус</w:t>
      </w:r>
      <w:r w:rsidRPr="00597E52">
        <w:rPr>
          <w:rFonts w:ascii="Times New Roman" w:hAnsi="Times New Roman"/>
          <w:sz w:val="28"/>
          <w:szCs w:val="28"/>
        </w:rPr>
        <w:t>трии). 8</w:t>
      </w:r>
      <w:r w:rsidRPr="00597E52">
        <w:rPr>
          <w:rFonts w:ascii="Times New Roman" w:hAnsi="Times New Roman"/>
          <w:sz w:val="28"/>
          <w:szCs w:val="28"/>
          <w:lang w:val="en-US"/>
        </w:rPr>
        <w:t>D</w:t>
      </w:r>
      <w:r w:rsidRPr="00597E52">
        <w:rPr>
          <w:rFonts w:ascii="Times New Roman" w:hAnsi="Times New Roman"/>
          <w:sz w:val="28"/>
          <w:szCs w:val="28"/>
          <w:lang w:val="kk-KZ"/>
        </w:rPr>
        <w:t>07103 Электроэнергетика</w:t>
      </w:r>
      <w:r w:rsidRPr="00597E52">
        <w:rPr>
          <w:rFonts w:ascii="Times New Roman" w:hAnsi="Times New Roman"/>
          <w:sz w:val="28"/>
          <w:szCs w:val="28"/>
        </w:rPr>
        <w:t xml:space="preserve"> 8</w:t>
      </w:r>
      <w:r w:rsidRPr="00597E52">
        <w:rPr>
          <w:rFonts w:ascii="Times New Roman" w:hAnsi="Times New Roman"/>
          <w:sz w:val="28"/>
          <w:szCs w:val="28"/>
          <w:lang w:val="en-US"/>
        </w:rPr>
        <w:t>D</w:t>
      </w:r>
      <w:r w:rsidRPr="00597E52">
        <w:rPr>
          <w:rFonts w:ascii="Times New Roman" w:hAnsi="Times New Roman"/>
          <w:sz w:val="28"/>
          <w:szCs w:val="28"/>
        </w:rPr>
        <w:t xml:space="preserve">07105 </w:t>
      </w:r>
      <w:r w:rsidRPr="00597E52">
        <w:rPr>
          <w:rFonts w:ascii="Times New Roman" w:hAnsi="Times New Roman"/>
          <w:sz w:val="28"/>
          <w:szCs w:val="28"/>
        </w:rPr>
        <w:t>Технологические машины и оборудование (машиностроение), 8</w:t>
      </w:r>
      <w:r w:rsidRPr="00597E52">
        <w:rPr>
          <w:rFonts w:ascii="Times New Roman" w:hAnsi="Times New Roman"/>
          <w:sz w:val="28"/>
          <w:szCs w:val="28"/>
          <w:lang w:val="en-US"/>
        </w:rPr>
        <w:t>D</w:t>
      </w:r>
      <w:r w:rsidRPr="00597E52">
        <w:rPr>
          <w:rFonts w:ascii="Times New Roman" w:hAnsi="Times New Roman"/>
          <w:sz w:val="28"/>
          <w:szCs w:val="28"/>
        </w:rPr>
        <w:t>05102</w:t>
      </w:r>
      <w:r w:rsidRPr="00597E52">
        <w:rPr>
          <w:rFonts w:ascii="Times New Roman" w:hAnsi="Times New Roman"/>
          <w:sz w:val="28"/>
          <w:szCs w:val="28"/>
        </w:rPr>
        <w:t xml:space="preserve"> Биология.</w:t>
      </w:r>
    </w:p>
    <w:p w:rsidR="00DE0667" w:rsidRPr="00597E52" w:rsidRDefault="005B5165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_Hlk166499778"/>
      <w:r w:rsidRPr="00597E52">
        <w:rPr>
          <w:rFonts w:ascii="Times New Roman" w:hAnsi="Times New Roman"/>
          <w:sz w:val="28"/>
          <w:szCs w:val="28"/>
        </w:rPr>
        <w:t xml:space="preserve">В рамках проекта Всемирного банка и МНВО РК </w:t>
      </w:r>
      <w:bookmarkStart w:id="2" w:name="_Hlk166681622"/>
      <w:r w:rsidRPr="00597E52">
        <w:rPr>
          <w:rFonts w:ascii="Times New Roman" w:hAnsi="Times New Roman"/>
          <w:sz w:val="28"/>
          <w:szCs w:val="28"/>
        </w:rPr>
        <w:t>«Реализация модели педагогического образования и усиление его содержания»</w:t>
      </w:r>
      <w:bookmarkEnd w:id="2"/>
      <w:r w:rsidRPr="00597E52">
        <w:rPr>
          <w:rFonts w:ascii="Times New Roman" w:hAnsi="Times New Roman"/>
          <w:sz w:val="28"/>
          <w:szCs w:val="28"/>
        </w:rPr>
        <w:t xml:space="preserve"> </w:t>
      </w:r>
      <w:bookmarkStart w:id="3" w:name="_Hlk166681595"/>
      <w:bookmarkEnd w:id="1"/>
      <w:r w:rsidRPr="00597E52">
        <w:rPr>
          <w:rFonts w:ascii="Times New Roman" w:hAnsi="Times New Roman"/>
          <w:sz w:val="28"/>
          <w:szCs w:val="28"/>
        </w:rPr>
        <w:t>согласно дорожной карты</w:t>
      </w:r>
      <w:r w:rsidRPr="00597E52">
        <w:rPr>
          <w:rFonts w:ascii="Times New Roman" w:hAnsi="Times New Roman"/>
          <w:sz w:val="28"/>
          <w:szCs w:val="28"/>
        </w:rPr>
        <w:t xml:space="preserve"> в Реестр в 2025 году включены 9 инновационных ОП 6B01710 Казахский язык и литература (IP), 6B01708 Русский язык и литература в школах с русским и нерусским языками обучения (IP), 6B01516 География (IP), 6B01515 Биология (IP), 6B01520 Физика (IP), 6B01519 </w:t>
      </w:r>
      <w:r w:rsidRPr="00597E52">
        <w:rPr>
          <w:rFonts w:ascii="Times New Roman" w:hAnsi="Times New Roman"/>
          <w:sz w:val="28"/>
          <w:szCs w:val="28"/>
        </w:rPr>
        <w:t xml:space="preserve">Информатика (IP), 6B01517 Химия (IP), 6B01518 Математика (IP),  7M01526 Цифровая педагогика (IP). Данные программы проходят процедуру обновления с учетом </w:t>
      </w:r>
      <w:proofErr w:type="gramStart"/>
      <w:r w:rsidRPr="00597E52">
        <w:rPr>
          <w:rFonts w:ascii="Times New Roman" w:hAnsi="Times New Roman"/>
          <w:sz w:val="28"/>
          <w:szCs w:val="28"/>
        </w:rPr>
        <w:t>внесенных  изменений</w:t>
      </w:r>
      <w:proofErr w:type="gramEnd"/>
      <w:r w:rsidRPr="00597E52">
        <w:rPr>
          <w:rFonts w:ascii="Times New Roman" w:hAnsi="Times New Roman"/>
          <w:sz w:val="28"/>
          <w:szCs w:val="28"/>
        </w:rPr>
        <w:t xml:space="preserve"> в нормативные документы и рекомендаций университета.</w:t>
      </w:r>
    </w:p>
    <w:p w:rsidR="00DE0667" w:rsidRPr="00597E52" w:rsidRDefault="005B516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97E52">
        <w:rPr>
          <w:rFonts w:ascii="Times New Roman" w:hAnsi="Times New Roman"/>
          <w:sz w:val="28"/>
          <w:szCs w:val="28"/>
        </w:rPr>
        <w:t>По заказу Управления государ</w:t>
      </w:r>
      <w:r w:rsidRPr="00597E52">
        <w:rPr>
          <w:rFonts w:ascii="Times New Roman" w:hAnsi="Times New Roman"/>
          <w:sz w:val="28"/>
          <w:szCs w:val="28"/>
        </w:rPr>
        <w:t xml:space="preserve">ственных доходов по г.Костанай Академическим комитетом </w:t>
      </w:r>
      <w:proofErr w:type="spellStart"/>
      <w:r w:rsidRPr="00597E52">
        <w:rPr>
          <w:rFonts w:ascii="Times New Roman" w:hAnsi="Times New Roman"/>
          <w:sz w:val="28"/>
          <w:szCs w:val="28"/>
        </w:rPr>
        <w:t>ФЭиП</w:t>
      </w:r>
      <w:proofErr w:type="spellEnd"/>
      <w:r w:rsidRPr="00597E52">
        <w:rPr>
          <w:rFonts w:ascii="Times New Roman" w:hAnsi="Times New Roman"/>
          <w:sz w:val="28"/>
          <w:szCs w:val="28"/>
        </w:rPr>
        <w:t xml:space="preserve"> разработана новая ОП 6В04107 Администрирование и правовое регулирование в сфере налогообложения. </w:t>
      </w:r>
      <w:r w:rsidRPr="00597E52">
        <w:rPr>
          <w:rFonts w:ascii="Times New Roman" w:hAnsi="Times New Roman"/>
          <w:sz w:val="28"/>
          <w:szCs w:val="28"/>
        </w:rPr>
        <w:lastRenderedPageBreak/>
        <w:t>Программа направлена на формирование и развитие профессиональных компетенций в сфере налогового адм</w:t>
      </w:r>
      <w:r w:rsidRPr="00597E52">
        <w:rPr>
          <w:rFonts w:ascii="Times New Roman" w:hAnsi="Times New Roman"/>
          <w:sz w:val="28"/>
          <w:szCs w:val="28"/>
        </w:rPr>
        <w:t xml:space="preserve">инистрирования, методов аудита и контроля в налоговой сфере, налогового комплаенса и аудита в </w:t>
      </w:r>
      <w:proofErr w:type="spellStart"/>
      <w:r w:rsidRPr="00597E52">
        <w:rPr>
          <w:rFonts w:ascii="Times New Roman" w:hAnsi="Times New Roman"/>
          <w:sz w:val="28"/>
          <w:szCs w:val="28"/>
        </w:rPr>
        <w:t>квазигосударственном</w:t>
      </w:r>
      <w:proofErr w:type="spellEnd"/>
      <w:r w:rsidRPr="00597E52">
        <w:rPr>
          <w:rFonts w:ascii="Times New Roman" w:hAnsi="Times New Roman"/>
          <w:sz w:val="28"/>
          <w:szCs w:val="28"/>
        </w:rPr>
        <w:t xml:space="preserve"> секторе. </w:t>
      </w:r>
      <w:r w:rsidRPr="00597E52">
        <w:rPr>
          <w:rFonts w:ascii="Times New Roman" w:hAnsi="Times New Roman"/>
          <w:sz w:val="28"/>
          <w:szCs w:val="28"/>
        </w:rPr>
        <w:t>ОП</w:t>
      </w:r>
      <w:r w:rsidRPr="00597E52">
        <w:rPr>
          <w:rFonts w:ascii="Times New Roman" w:hAnsi="Times New Roman"/>
          <w:sz w:val="28"/>
          <w:szCs w:val="28"/>
        </w:rPr>
        <w:t xml:space="preserve"> </w:t>
      </w:r>
      <w:r w:rsidRPr="00597E52">
        <w:rPr>
          <w:rFonts w:ascii="Times New Roman" w:hAnsi="Times New Roman"/>
          <w:sz w:val="28"/>
          <w:szCs w:val="28"/>
        </w:rPr>
        <w:t xml:space="preserve">охватывает основные аспекты налогового права, налоговых рисков и их минимизации, а также правового регулирования </w:t>
      </w:r>
      <w:r w:rsidRPr="00597E52">
        <w:rPr>
          <w:rFonts w:ascii="Times New Roman" w:hAnsi="Times New Roman"/>
          <w:sz w:val="28"/>
          <w:szCs w:val="28"/>
        </w:rPr>
        <w:t>налогообложения.</w:t>
      </w:r>
    </w:p>
    <w:p w:rsidR="00DE0667" w:rsidRPr="00597E52" w:rsidRDefault="005B516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97E52">
        <w:rPr>
          <w:rFonts w:ascii="Times New Roman" w:hAnsi="Times New Roman"/>
          <w:sz w:val="28"/>
          <w:szCs w:val="28"/>
        </w:rPr>
        <w:t xml:space="preserve">В совместно с индустриальными партнерами, Вузом-партнёром </w:t>
      </w:r>
      <w:proofErr w:type="spellStart"/>
      <w:r w:rsidRPr="00597E52">
        <w:rPr>
          <w:rFonts w:ascii="Times New Roman" w:hAnsi="Times New Roman"/>
          <w:sz w:val="28"/>
          <w:szCs w:val="28"/>
        </w:rPr>
        <w:t>Dong-Eui</w:t>
      </w:r>
      <w:proofErr w:type="spellEnd"/>
      <w:r w:rsidRPr="00597E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7E52">
        <w:rPr>
          <w:rFonts w:ascii="Times New Roman" w:hAnsi="Times New Roman"/>
          <w:sz w:val="28"/>
          <w:szCs w:val="28"/>
        </w:rPr>
        <w:t>University</w:t>
      </w:r>
      <w:proofErr w:type="spellEnd"/>
      <w:r w:rsidRPr="00597E52">
        <w:rPr>
          <w:rFonts w:ascii="Times New Roman" w:hAnsi="Times New Roman"/>
          <w:sz w:val="28"/>
          <w:szCs w:val="28"/>
        </w:rPr>
        <w:t xml:space="preserve">, Корея </w:t>
      </w:r>
      <w:proofErr w:type="gramStart"/>
      <w:r w:rsidRPr="00597E52">
        <w:rPr>
          <w:rFonts w:ascii="Times New Roman" w:hAnsi="Times New Roman"/>
          <w:sz w:val="28"/>
          <w:szCs w:val="28"/>
        </w:rPr>
        <w:t>разработана  новая</w:t>
      </w:r>
      <w:proofErr w:type="gramEnd"/>
      <w:r w:rsidRPr="00597E52">
        <w:rPr>
          <w:rFonts w:ascii="Times New Roman" w:hAnsi="Times New Roman"/>
          <w:sz w:val="28"/>
          <w:szCs w:val="28"/>
        </w:rPr>
        <w:t xml:space="preserve"> ОП 6В07106 Инжиниринг автомобильной промышленности. ОП направлена на подготовку высококвалифицированных специалистов в области автомоби</w:t>
      </w:r>
      <w:r w:rsidRPr="00597E52">
        <w:rPr>
          <w:rFonts w:ascii="Times New Roman" w:hAnsi="Times New Roman"/>
          <w:sz w:val="28"/>
          <w:szCs w:val="28"/>
        </w:rPr>
        <w:t>лестроения, обладающих фундаментальными основами в конструировании автотранспорта, использующих современные методы инженерного анализа, внедряющих цифровые технологии в проектирование и производство, развивающих компетенции в области автоматизации и модели</w:t>
      </w:r>
      <w:r w:rsidRPr="00597E52">
        <w:rPr>
          <w:rFonts w:ascii="Times New Roman" w:hAnsi="Times New Roman"/>
          <w:sz w:val="28"/>
          <w:szCs w:val="28"/>
        </w:rPr>
        <w:t>рования.</w:t>
      </w:r>
      <w:bookmarkEnd w:id="3"/>
    </w:p>
    <w:p w:rsidR="00DE0667" w:rsidRPr="00597E52" w:rsidRDefault="005B5165">
      <w:pPr>
        <w:pStyle w:val="a6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7E52">
        <w:rPr>
          <w:rFonts w:ascii="Times New Roman" w:hAnsi="Times New Roman" w:cs="Times New Roman"/>
          <w:sz w:val="28"/>
          <w:szCs w:val="28"/>
        </w:rPr>
        <w:t xml:space="preserve">Итого на обновление в Реестр подано 76 ОП высшего </w:t>
      </w:r>
      <w:proofErr w:type="gramStart"/>
      <w:r w:rsidRPr="00597E52">
        <w:rPr>
          <w:rFonts w:ascii="Times New Roman" w:hAnsi="Times New Roman" w:cs="Times New Roman"/>
          <w:sz w:val="28"/>
          <w:szCs w:val="28"/>
        </w:rPr>
        <w:t>образования,  53</w:t>
      </w:r>
      <w:proofErr w:type="gramEnd"/>
      <w:r w:rsidRPr="00597E52">
        <w:rPr>
          <w:rFonts w:ascii="Times New Roman" w:hAnsi="Times New Roman" w:cs="Times New Roman"/>
          <w:sz w:val="28"/>
          <w:szCs w:val="28"/>
        </w:rPr>
        <w:t xml:space="preserve"> ОП магистратуры, 21 ОП докторантуры, на включение в Реестр </w:t>
      </w:r>
      <w:r w:rsidRPr="00597E52">
        <w:rPr>
          <w:rFonts w:ascii="Times New Roman" w:hAnsi="Times New Roman" w:cs="Times New Roman"/>
          <w:sz w:val="28"/>
          <w:szCs w:val="28"/>
        </w:rPr>
        <w:t>5</w:t>
      </w:r>
      <w:r w:rsidRPr="00597E52">
        <w:rPr>
          <w:rFonts w:ascii="Times New Roman" w:hAnsi="Times New Roman" w:cs="Times New Roman"/>
          <w:sz w:val="28"/>
          <w:szCs w:val="28"/>
        </w:rPr>
        <w:t xml:space="preserve"> ОП из них инновационных 1, новых -1, действующих -</w:t>
      </w:r>
      <w:r w:rsidRPr="00597E52">
        <w:rPr>
          <w:rFonts w:ascii="Times New Roman" w:hAnsi="Times New Roman" w:cs="Times New Roman"/>
          <w:sz w:val="28"/>
          <w:szCs w:val="28"/>
        </w:rPr>
        <w:t>3</w:t>
      </w:r>
      <w:r w:rsidRPr="00597E52">
        <w:rPr>
          <w:rFonts w:ascii="Times New Roman" w:hAnsi="Times New Roman" w:cs="Times New Roman"/>
          <w:sz w:val="28"/>
          <w:szCs w:val="28"/>
        </w:rPr>
        <w:t>.</w:t>
      </w:r>
    </w:p>
    <w:p w:rsidR="00DE0667" w:rsidRPr="00597E52" w:rsidRDefault="005B51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E52">
        <w:rPr>
          <w:rFonts w:ascii="Times New Roman" w:hAnsi="Times New Roman" w:cs="Times New Roman"/>
          <w:sz w:val="28"/>
          <w:szCs w:val="28"/>
        </w:rPr>
        <w:t xml:space="preserve">На основании образовательных </w:t>
      </w:r>
      <w:proofErr w:type="gramStart"/>
      <w:r w:rsidRPr="00597E52">
        <w:rPr>
          <w:rFonts w:ascii="Times New Roman" w:hAnsi="Times New Roman" w:cs="Times New Roman"/>
          <w:sz w:val="28"/>
          <w:szCs w:val="28"/>
        </w:rPr>
        <w:t xml:space="preserve">программ  </w:t>
      </w:r>
      <w:r w:rsidRPr="00597E52">
        <w:rPr>
          <w:rFonts w:ascii="Times New Roman" w:hAnsi="Times New Roman" w:cs="Times New Roman"/>
          <w:sz w:val="28"/>
          <w:szCs w:val="28"/>
        </w:rPr>
        <w:t>Академическими</w:t>
      </w:r>
      <w:proofErr w:type="gramEnd"/>
      <w:r w:rsidRPr="00597E52">
        <w:rPr>
          <w:rFonts w:ascii="Times New Roman" w:hAnsi="Times New Roman" w:cs="Times New Roman"/>
          <w:sz w:val="28"/>
          <w:szCs w:val="28"/>
        </w:rPr>
        <w:t xml:space="preserve"> комитетами разработаны учебные планы на полный срок обучения, сокращенный срок обучения на базе технического и профессионального, </w:t>
      </w:r>
      <w:proofErr w:type="spellStart"/>
      <w:r w:rsidRPr="00597E52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597E52">
        <w:rPr>
          <w:rFonts w:ascii="Times New Roman" w:hAnsi="Times New Roman" w:cs="Times New Roman"/>
          <w:sz w:val="28"/>
          <w:szCs w:val="28"/>
        </w:rPr>
        <w:t xml:space="preserve"> и высшего образования в соответствии с планом набора.</w:t>
      </w:r>
    </w:p>
    <w:p w:rsidR="00DE0667" w:rsidRPr="00597E52" w:rsidRDefault="00DE0667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0667" w:rsidRPr="00597E52" w:rsidRDefault="005B516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E52">
        <w:rPr>
          <w:rFonts w:ascii="Times New Roman" w:hAnsi="Times New Roman" w:cs="Times New Roman"/>
          <w:b/>
          <w:sz w:val="28"/>
          <w:szCs w:val="28"/>
        </w:rPr>
        <w:t>Рабочие учебные планы.</w:t>
      </w:r>
    </w:p>
    <w:p w:rsidR="00DE0667" w:rsidRPr="00597E52" w:rsidRDefault="005B51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E52">
        <w:rPr>
          <w:rFonts w:ascii="Times New Roman" w:hAnsi="Times New Roman" w:cs="Times New Roman"/>
          <w:sz w:val="28"/>
          <w:szCs w:val="28"/>
        </w:rPr>
        <w:t>Формированию рабочи</w:t>
      </w:r>
      <w:r w:rsidRPr="00597E52">
        <w:rPr>
          <w:rFonts w:ascii="Times New Roman" w:hAnsi="Times New Roman" w:cs="Times New Roman"/>
          <w:sz w:val="28"/>
          <w:szCs w:val="28"/>
        </w:rPr>
        <w:t xml:space="preserve">х учебных планов на 2025-2026 учебный год предшествовала процедура записи обучающихся на дисциплины и соответственно, формирование индивидуальных учебных планов. Координируют данную работу </w:t>
      </w:r>
      <w:proofErr w:type="spellStart"/>
      <w:proofErr w:type="gramStart"/>
      <w:r w:rsidRPr="00597E52">
        <w:rPr>
          <w:rFonts w:ascii="Times New Roman" w:hAnsi="Times New Roman" w:cs="Times New Roman"/>
          <w:sz w:val="28"/>
          <w:szCs w:val="28"/>
        </w:rPr>
        <w:t>эдвайзеры</w:t>
      </w:r>
      <w:proofErr w:type="spellEnd"/>
      <w:r w:rsidRPr="00597E52">
        <w:rPr>
          <w:rFonts w:ascii="Times New Roman" w:hAnsi="Times New Roman" w:cs="Times New Roman"/>
          <w:sz w:val="28"/>
          <w:szCs w:val="28"/>
        </w:rPr>
        <w:t xml:space="preserve">  академических</w:t>
      </w:r>
      <w:proofErr w:type="gramEnd"/>
      <w:r w:rsidRPr="00597E52">
        <w:rPr>
          <w:rFonts w:ascii="Times New Roman" w:hAnsi="Times New Roman" w:cs="Times New Roman"/>
          <w:sz w:val="28"/>
          <w:szCs w:val="28"/>
        </w:rPr>
        <w:t xml:space="preserve"> групп и методисты Офиса Регистратора. Форм</w:t>
      </w:r>
      <w:r w:rsidRPr="00597E52">
        <w:rPr>
          <w:rFonts w:ascii="Times New Roman" w:hAnsi="Times New Roman" w:cs="Times New Roman"/>
          <w:sz w:val="28"/>
          <w:szCs w:val="28"/>
        </w:rPr>
        <w:t xml:space="preserve">ирование рабочих учебных планов осуществляется методистами отдела организации и планирования учебного процесса в ИС </w:t>
      </w:r>
      <w:proofErr w:type="spellStart"/>
      <w:r w:rsidRPr="00597E52">
        <w:rPr>
          <w:rFonts w:ascii="Times New Roman" w:hAnsi="Times New Roman" w:cs="Times New Roman"/>
          <w:sz w:val="28"/>
          <w:szCs w:val="28"/>
          <w:lang w:val="en-US"/>
        </w:rPr>
        <w:t>Platonus</w:t>
      </w:r>
      <w:proofErr w:type="spellEnd"/>
      <w:r w:rsidRPr="00597E52">
        <w:rPr>
          <w:rFonts w:ascii="Times New Roman" w:hAnsi="Times New Roman" w:cs="Times New Roman"/>
          <w:sz w:val="28"/>
          <w:szCs w:val="28"/>
        </w:rPr>
        <w:t xml:space="preserve"> с последующей выгрузкой для утверждения.  На данный момент процедура разработки рабочих учебных планов на 2025-2026 учебный год в р</w:t>
      </w:r>
      <w:r w:rsidRPr="00597E52">
        <w:rPr>
          <w:rFonts w:ascii="Times New Roman" w:hAnsi="Times New Roman" w:cs="Times New Roman"/>
          <w:sz w:val="28"/>
          <w:szCs w:val="28"/>
        </w:rPr>
        <w:t>азрезе образовательных программ, уровней обучения и академических групп, завершена и готова к утверждению.</w:t>
      </w:r>
    </w:p>
    <w:p w:rsidR="00DE0667" w:rsidRPr="00597E52" w:rsidRDefault="00DE06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0667" w:rsidRPr="00597E52" w:rsidRDefault="005B516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E52">
        <w:rPr>
          <w:rFonts w:ascii="Times New Roman" w:hAnsi="Times New Roman" w:cs="Times New Roman"/>
          <w:b/>
          <w:sz w:val="28"/>
          <w:szCs w:val="28"/>
        </w:rPr>
        <w:t>Положение о планировании учебной работы и педагогической нагрузки ППС на 2025-2026 учебный год</w:t>
      </w:r>
    </w:p>
    <w:p w:rsidR="00DE0667" w:rsidRPr="00597E52" w:rsidRDefault="00DE0667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0667" w:rsidRPr="00597E52" w:rsidRDefault="005B51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E52">
        <w:rPr>
          <w:rFonts w:ascii="Times New Roman" w:hAnsi="Times New Roman" w:cs="Times New Roman"/>
          <w:sz w:val="28"/>
          <w:szCs w:val="28"/>
        </w:rPr>
        <w:t xml:space="preserve">Данное положение пересматривается ежегодно с учетом </w:t>
      </w:r>
      <w:r w:rsidRPr="00597E52">
        <w:rPr>
          <w:rFonts w:ascii="Times New Roman" w:hAnsi="Times New Roman" w:cs="Times New Roman"/>
          <w:sz w:val="28"/>
          <w:szCs w:val="28"/>
        </w:rPr>
        <w:t>изменений в планировании и организации учебного процесса, внесения изменений в нормативно-правовые акты в сфере высшего и послевузовского образования. Нормы расчета учебной нагрузки, в целом, сохранены на уровне норм, действовавших при расчете учебной нагр</w:t>
      </w:r>
      <w:r w:rsidRPr="00597E52">
        <w:rPr>
          <w:rFonts w:ascii="Times New Roman" w:hAnsi="Times New Roman" w:cs="Times New Roman"/>
          <w:sz w:val="28"/>
          <w:szCs w:val="28"/>
        </w:rPr>
        <w:t>узки прошлого учебного года. Изменения в планировании представлены в Проекте Положения, а именно:</w:t>
      </w:r>
    </w:p>
    <w:p w:rsidR="00DE0667" w:rsidRPr="00597E52" w:rsidRDefault="005B51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E52">
        <w:rPr>
          <w:rFonts w:ascii="Times New Roman" w:hAnsi="Times New Roman" w:cs="Times New Roman"/>
          <w:sz w:val="28"/>
          <w:szCs w:val="28"/>
        </w:rPr>
        <w:t>- обновлен раздел «Нормативные ссылки» (КВТ);</w:t>
      </w:r>
    </w:p>
    <w:p w:rsidR="00DE0667" w:rsidRPr="00597E52" w:rsidRDefault="005B51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E52">
        <w:rPr>
          <w:rFonts w:ascii="Times New Roman" w:hAnsi="Times New Roman" w:cs="Times New Roman"/>
          <w:sz w:val="28"/>
          <w:szCs w:val="28"/>
        </w:rPr>
        <w:t xml:space="preserve">- расширен перечень дисциплин по которым предусмотрено проведение лекционных занятий в </w:t>
      </w:r>
      <w:proofErr w:type="spellStart"/>
      <w:r w:rsidRPr="00597E52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597E52">
        <w:rPr>
          <w:rFonts w:ascii="Times New Roman" w:hAnsi="Times New Roman" w:cs="Times New Roman"/>
          <w:sz w:val="28"/>
          <w:szCs w:val="28"/>
        </w:rPr>
        <w:t xml:space="preserve"> формате (Философи</w:t>
      </w:r>
      <w:r w:rsidRPr="00597E52">
        <w:rPr>
          <w:rFonts w:ascii="Times New Roman" w:hAnsi="Times New Roman" w:cs="Times New Roman"/>
          <w:sz w:val="28"/>
          <w:szCs w:val="28"/>
        </w:rPr>
        <w:t xml:space="preserve">я, Социология, политология, культурология, Психология, Информационно – коммуникационные технологии, </w:t>
      </w:r>
      <w:r w:rsidRPr="00597E52">
        <w:rPr>
          <w:rFonts w:ascii="Times New Roman" w:hAnsi="Times New Roman" w:cs="Times New Roman"/>
          <w:sz w:val="28"/>
          <w:szCs w:val="28"/>
        </w:rPr>
        <w:lastRenderedPageBreak/>
        <w:t>Основы права и антикоррупционной культуры, Основы экономики и предпринимательства, Основы лидерства, Экология и основы безопасности жизнедеятельности, Основ</w:t>
      </w:r>
      <w:r w:rsidRPr="00597E52">
        <w:rPr>
          <w:rFonts w:ascii="Times New Roman" w:hAnsi="Times New Roman" w:cs="Times New Roman"/>
          <w:sz w:val="28"/>
          <w:szCs w:val="28"/>
        </w:rPr>
        <w:t xml:space="preserve">ы научных исследований и академическое письмо, Основы финансовой грамотности, </w:t>
      </w:r>
      <w:r w:rsidRPr="00597E52">
        <w:rPr>
          <w:rFonts w:ascii="Times New Roman" w:hAnsi="Times New Roman" w:cs="Times New Roman"/>
          <w:b/>
          <w:bCs/>
          <w:sz w:val="28"/>
          <w:szCs w:val="28"/>
        </w:rPr>
        <w:t>Этика инклюзивного взаимодействия).</w:t>
      </w:r>
    </w:p>
    <w:p w:rsidR="00DE0667" w:rsidRPr="00597E52" w:rsidRDefault="005B51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E52">
        <w:rPr>
          <w:rFonts w:ascii="Times New Roman" w:hAnsi="Times New Roman" w:cs="Times New Roman"/>
          <w:sz w:val="28"/>
          <w:szCs w:val="28"/>
        </w:rPr>
        <w:t>- в связи с укрупнением кредитов по дисциплинам предложены нормы времени для 7-10 кредитных дисциплин, включая дуальное обучение;</w:t>
      </w:r>
    </w:p>
    <w:p w:rsidR="00DE0667" w:rsidRPr="00597E52" w:rsidRDefault="005B51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E52">
        <w:rPr>
          <w:rFonts w:ascii="Times New Roman" w:hAnsi="Times New Roman" w:cs="Times New Roman"/>
          <w:sz w:val="28"/>
          <w:szCs w:val="28"/>
        </w:rPr>
        <w:t>- уточнены н</w:t>
      </w:r>
      <w:r w:rsidRPr="00597E52">
        <w:rPr>
          <w:rFonts w:ascii="Times New Roman" w:hAnsi="Times New Roman" w:cs="Times New Roman"/>
          <w:sz w:val="28"/>
          <w:szCs w:val="28"/>
        </w:rPr>
        <w:t>аполняемость групп на ИА;</w:t>
      </w:r>
    </w:p>
    <w:p w:rsidR="00DE0667" w:rsidRPr="00597E52" w:rsidRDefault="005B51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E52">
        <w:rPr>
          <w:rFonts w:ascii="Times New Roman" w:hAnsi="Times New Roman" w:cs="Times New Roman"/>
          <w:sz w:val="28"/>
          <w:szCs w:val="28"/>
        </w:rPr>
        <w:t>- предложены н</w:t>
      </w:r>
      <w:bookmarkStart w:id="4" w:name="_GoBack"/>
      <w:bookmarkEnd w:id="4"/>
      <w:r w:rsidRPr="00597E52">
        <w:rPr>
          <w:rFonts w:ascii="Times New Roman" w:hAnsi="Times New Roman" w:cs="Times New Roman"/>
          <w:sz w:val="28"/>
          <w:szCs w:val="28"/>
        </w:rPr>
        <w:t>ормативы доля расчета нагрузки для консультанта НИРМ, НИРД;</w:t>
      </w:r>
    </w:p>
    <w:p w:rsidR="00DE0667" w:rsidRPr="00597E52" w:rsidRDefault="005B51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E52">
        <w:rPr>
          <w:rFonts w:ascii="Times New Roman" w:hAnsi="Times New Roman" w:cs="Times New Roman"/>
          <w:sz w:val="28"/>
          <w:szCs w:val="28"/>
        </w:rPr>
        <w:t xml:space="preserve">- снижена учебная </w:t>
      </w:r>
      <w:proofErr w:type="spellStart"/>
      <w:r w:rsidRPr="00597E52">
        <w:rPr>
          <w:rFonts w:ascii="Times New Roman" w:hAnsi="Times New Roman" w:cs="Times New Roman"/>
          <w:sz w:val="28"/>
          <w:szCs w:val="28"/>
        </w:rPr>
        <w:t>нагрзука</w:t>
      </w:r>
      <w:proofErr w:type="spellEnd"/>
      <w:r w:rsidRPr="00597E52">
        <w:rPr>
          <w:rFonts w:ascii="Times New Roman" w:hAnsi="Times New Roman" w:cs="Times New Roman"/>
          <w:sz w:val="28"/>
          <w:szCs w:val="28"/>
        </w:rPr>
        <w:t xml:space="preserve"> для ППС, имеющим </w:t>
      </w:r>
      <w:proofErr w:type="spellStart"/>
      <w:r w:rsidRPr="00597E52">
        <w:rPr>
          <w:rFonts w:ascii="Times New Roman" w:hAnsi="Times New Roman" w:cs="Times New Roman"/>
          <w:sz w:val="28"/>
          <w:szCs w:val="28"/>
        </w:rPr>
        <w:t>имеющим</w:t>
      </w:r>
      <w:proofErr w:type="spellEnd"/>
      <w:r w:rsidRPr="00597E52">
        <w:rPr>
          <w:rFonts w:ascii="Times New Roman" w:hAnsi="Times New Roman" w:cs="Times New Roman"/>
          <w:sz w:val="28"/>
          <w:szCs w:val="28"/>
        </w:rPr>
        <w:t xml:space="preserve"> ученое звание “Профессор” и имеющим ученую степень доктора наук.</w:t>
      </w:r>
    </w:p>
    <w:p w:rsidR="00DE0667" w:rsidRPr="00597E52" w:rsidRDefault="00DE06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0667" w:rsidRPr="00597E52" w:rsidRDefault="005B51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E52">
        <w:rPr>
          <w:rFonts w:ascii="Times New Roman" w:hAnsi="Times New Roman" w:cs="Times New Roman"/>
          <w:sz w:val="28"/>
          <w:szCs w:val="28"/>
        </w:rPr>
        <w:t>Проректором по АВ проведена разъясните</w:t>
      </w:r>
      <w:r w:rsidRPr="00597E52">
        <w:rPr>
          <w:rFonts w:ascii="Times New Roman" w:hAnsi="Times New Roman" w:cs="Times New Roman"/>
          <w:sz w:val="28"/>
          <w:szCs w:val="28"/>
        </w:rPr>
        <w:t>льную работу с заведующими кафедрами ПИ и факультетов, с ППС.</w:t>
      </w:r>
    </w:p>
    <w:p w:rsidR="00DE0667" w:rsidRPr="00597E52" w:rsidRDefault="00DE06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0667" w:rsidRPr="00597E52" w:rsidRDefault="00DE06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0667" w:rsidRPr="00597E52" w:rsidRDefault="00DE06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0667" w:rsidRPr="00597E52" w:rsidRDefault="005B5165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E52">
        <w:rPr>
          <w:rFonts w:ascii="Times New Roman" w:hAnsi="Times New Roman" w:cs="Times New Roman"/>
          <w:sz w:val="28"/>
          <w:szCs w:val="28"/>
        </w:rPr>
        <w:t xml:space="preserve">Проректор по </w:t>
      </w:r>
      <w:proofErr w:type="gramStart"/>
      <w:r w:rsidRPr="00597E52">
        <w:rPr>
          <w:rFonts w:ascii="Times New Roman" w:hAnsi="Times New Roman" w:cs="Times New Roman"/>
          <w:sz w:val="28"/>
          <w:szCs w:val="28"/>
        </w:rPr>
        <w:t xml:space="preserve">АВ  </w:t>
      </w:r>
      <w:r w:rsidRPr="00597E52">
        <w:rPr>
          <w:rFonts w:ascii="Times New Roman" w:hAnsi="Times New Roman" w:cs="Times New Roman"/>
          <w:sz w:val="28"/>
          <w:szCs w:val="28"/>
        </w:rPr>
        <w:tab/>
      </w:r>
      <w:r w:rsidRPr="00597E52">
        <w:rPr>
          <w:rFonts w:ascii="Times New Roman" w:hAnsi="Times New Roman" w:cs="Times New Roman"/>
          <w:sz w:val="28"/>
          <w:szCs w:val="28"/>
        </w:rPr>
        <w:tab/>
      </w:r>
      <w:r w:rsidRPr="00597E52">
        <w:rPr>
          <w:rFonts w:ascii="Times New Roman" w:hAnsi="Times New Roman" w:cs="Times New Roman"/>
          <w:sz w:val="28"/>
          <w:szCs w:val="28"/>
        </w:rPr>
        <w:tab/>
      </w:r>
      <w:r w:rsidRPr="00597E52">
        <w:rPr>
          <w:rFonts w:ascii="Times New Roman" w:hAnsi="Times New Roman" w:cs="Times New Roman"/>
          <w:sz w:val="28"/>
          <w:szCs w:val="28"/>
        </w:rPr>
        <w:tab/>
      </w:r>
      <w:r w:rsidRPr="00597E5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97E52">
        <w:rPr>
          <w:rFonts w:ascii="Times New Roman" w:hAnsi="Times New Roman" w:cs="Times New Roman"/>
          <w:sz w:val="28"/>
          <w:szCs w:val="28"/>
        </w:rPr>
        <w:t>Э.Наурызбаева</w:t>
      </w:r>
      <w:proofErr w:type="spellEnd"/>
      <w:proofErr w:type="gramEnd"/>
    </w:p>
    <w:sectPr w:rsidR="00DE0667" w:rsidRPr="00597E5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B5165" w:rsidRDefault="005B5165">
      <w:r>
        <w:separator/>
      </w:r>
    </w:p>
  </w:endnote>
  <w:endnote w:type="continuationSeparator" w:id="0">
    <w:p w:rsidR="005B5165" w:rsidRDefault="005B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B5165" w:rsidRDefault="005B5165">
      <w:r>
        <w:separator/>
      </w:r>
    </w:p>
  </w:footnote>
  <w:footnote w:type="continuationSeparator" w:id="0">
    <w:p w:rsidR="005B5165" w:rsidRDefault="005B5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430"/>
    <w:rsid w:val="00026F5B"/>
    <w:rsid w:val="000468D4"/>
    <w:rsid w:val="000D4946"/>
    <w:rsid w:val="001415D1"/>
    <w:rsid w:val="00202E0C"/>
    <w:rsid w:val="00285027"/>
    <w:rsid w:val="002B5FF5"/>
    <w:rsid w:val="00300660"/>
    <w:rsid w:val="003411DF"/>
    <w:rsid w:val="003E2EBF"/>
    <w:rsid w:val="0044727D"/>
    <w:rsid w:val="00597E52"/>
    <w:rsid w:val="005B5165"/>
    <w:rsid w:val="006471F3"/>
    <w:rsid w:val="00650A4C"/>
    <w:rsid w:val="006661AA"/>
    <w:rsid w:val="00672A98"/>
    <w:rsid w:val="00693864"/>
    <w:rsid w:val="006A2BE1"/>
    <w:rsid w:val="007741FB"/>
    <w:rsid w:val="007D0C15"/>
    <w:rsid w:val="0087041C"/>
    <w:rsid w:val="009365CE"/>
    <w:rsid w:val="00993942"/>
    <w:rsid w:val="009A3BEF"/>
    <w:rsid w:val="009C03D4"/>
    <w:rsid w:val="009C5139"/>
    <w:rsid w:val="00A20430"/>
    <w:rsid w:val="00A26F0A"/>
    <w:rsid w:val="00A53AD5"/>
    <w:rsid w:val="00AC2242"/>
    <w:rsid w:val="00B63B11"/>
    <w:rsid w:val="00BD42D6"/>
    <w:rsid w:val="00C60D75"/>
    <w:rsid w:val="00CD6CA1"/>
    <w:rsid w:val="00D16808"/>
    <w:rsid w:val="00D4575C"/>
    <w:rsid w:val="00D57F9C"/>
    <w:rsid w:val="00DB4112"/>
    <w:rsid w:val="00DE0667"/>
    <w:rsid w:val="00E32209"/>
    <w:rsid w:val="00E90631"/>
    <w:rsid w:val="00F634FB"/>
    <w:rsid w:val="00F77DEE"/>
    <w:rsid w:val="585B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BCE742A"/>
  <w15:docId w15:val="{E910483F-4A3D-4FF5-A25E-E8FA07D2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Segoe UI" w:eastAsia="Calibri" w:hAnsi="Segoe UI" w:cs="Segoe U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Pr>
      <w:rFonts w:ascii="Segoe UI" w:eastAsia="Calibri" w:hAnsi="Segoe UI" w:cs="Segoe U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1297</Words>
  <Characters>7395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KRU-3-315</cp:lastModifiedBy>
  <cp:revision>6</cp:revision>
  <cp:lastPrinted>2025-05-28T05:12:00Z</cp:lastPrinted>
  <dcterms:created xsi:type="dcterms:W3CDTF">2025-05-27T04:35:00Z</dcterms:created>
  <dcterms:modified xsi:type="dcterms:W3CDTF">2025-05-28T05:12:00Z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DABA7D6260BE4EBA84F307138D362B09_12</vt:lpwstr>
  </property>
</Properties>
</file>