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94"/>
        <w:gridCol w:w="4068"/>
      </w:tblGrid>
      <w:tr w:rsidR="00AC56AE" w:rsidRPr="00315722" w14:paraId="4671EBFB" w14:textId="77777777" w:rsidTr="00AC56AE">
        <w:tc>
          <w:tcPr>
            <w:tcW w:w="4077" w:type="dxa"/>
          </w:tcPr>
          <w:p w14:paraId="018383DE" w14:textId="77777777" w:rsidR="00AC56AE" w:rsidRPr="00315722" w:rsidRDefault="00AC56AE" w:rsidP="003D1675">
            <w:pPr>
              <w:ind w:left="-142" w:right="-197"/>
              <w:jc w:val="center"/>
              <w:rPr>
                <w:rFonts w:ascii="Times New Roman" w:eastAsia="Times New Roman" w:hAnsi="Times New Roman" w:cs="Times New Roman"/>
                <w:color w:val="000000"/>
                <w:sz w:val="28"/>
                <w:szCs w:val="28"/>
                <w:lang w:val="kk-KZ" w:eastAsia="ja-JP"/>
              </w:rPr>
            </w:pPr>
            <w:r w:rsidRPr="00315722">
              <w:rPr>
                <w:rFonts w:ascii="Times New Roman" w:eastAsia="Times New Roman" w:hAnsi="Times New Roman" w:cs="Times New Roman"/>
                <w:color w:val="000000"/>
                <w:sz w:val="28"/>
                <w:szCs w:val="28"/>
                <w:lang w:val="kk-KZ" w:eastAsia="ja-JP"/>
              </w:rPr>
              <w:t>«Ахмет Байтұрсынұлы  атындағы</w:t>
            </w:r>
          </w:p>
          <w:p w14:paraId="2D669498" w14:textId="77777777"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Қостанай өңірлік университеті» КЕАҚ</w:t>
            </w:r>
          </w:p>
        </w:tc>
        <w:tc>
          <w:tcPr>
            <w:tcW w:w="1494" w:type="dxa"/>
            <w:vMerge w:val="restart"/>
          </w:tcPr>
          <w:p w14:paraId="535F66DB" w14:textId="77777777" w:rsidR="00AC56AE" w:rsidRPr="00315722" w:rsidRDefault="00AC56AE" w:rsidP="003D1675">
            <w:pPr>
              <w:jc w:val="center"/>
              <w:rPr>
                <w:sz w:val="28"/>
                <w:szCs w:val="28"/>
              </w:rPr>
            </w:pPr>
            <w:r w:rsidRPr="00315722">
              <w:rPr>
                <w:noProof/>
                <w:color w:val="000000"/>
                <w:spacing w:val="3"/>
                <w:sz w:val="28"/>
                <w:szCs w:val="28"/>
                <w:lang w:eastAsia="ru-RU"/>
              </w:rPr>
              <w:drawing>
                <wp:inline distT="0" distB="0" distL="0" distR="0" wp14:anchorId="0E345A93" wp14:editId="0983810A">
                  <wp:extent cx="809625" cy="72149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996" cy="730732"/>
                          </a:xfrm>
                          <a:prstGeom prst="rect">
                            <a:avLst/>
                          </a:prstGeom>
                          <a:noFill/>
                        </pic:spPr>
                      </pic:pic>
                    </a:graphicData>
                  </a:graphic>
                </wp:inline>
              </w:drawing>
            </w:r>
          </w:p>
        </w:tc>
        <w:tc>
          <w:tcPr>
            <w:tcW w:w="4068" w:type="dxa"/>
          </w:tcPr>
          <w:p w14:paraId="0DF9CA86" w14:textId="77777777" w:rsidR="00AC56AE" w:rsidRPr="00315722" w:rsidRDefault="00AC56AE" w:rsidP="003D1675">
            <w:pPr>
              <w:jc w:val="center"/>
              <w:rPr>
                <w:rFonts w:ascii="Times New Roman" w:eastAsia="Times New Roman" w:hAnsi="Times New Roman" w:cs="Times New Roman"/>
                <w:color w:val="000000"/>
                <w:sz w:val="28"/>
                <w:szCs w:val="28"/>
                <w:lang w:val="kk-KZ" w:eastAsia="ja-JP"/>
              </w:rPr>
            </w:pPr>
            <w:r w:rsidRPr="00315722">
              <w:rPr>
                <w:rFonts w:ascii="Times New Roman" w:eastAsia="Times New Roman" w:hAnsi="Times New Roman" w:cs="Times New Roman"/>
                <w:color w:val="000000"/>
                <w:sz w:val="28"/>
                <w:szCs w:val="28"/>
                <w:lang w:val="kk-KZ" w:eastAsia="ja-JP"/>
              </w:rPr>
              <w:t>НАО «Костанайский</w:t>
            </w:r>
          </w:p>
          <w:p w14:paraId="42DB2223" w14:textId="77777777" w:rsidR="00AC56AE" w:rsidRPr="00315722" w:rsidRDefault="00AC56AE" w:rsidP="003D1675">
            <w:pPr>
              <w:jc w:val="center"/>
              <w:rPr>
                <w:rFonts w:ascii="Times New Roman" w:eastAsia="Times New Roman" w:hAnsi="Times New Roman" w:cs="Times New Roman"/>
                <w:color w:val="000000"/>
                <w:sz w:val="28"/>
                <w:szCs w:val="28"/>
                <w:lang w:val="kk-KZ" w:eastAsia="ja-JP"/>
              </w:rPr>
            </w:pPr>
            <w:r w:rsidRPr="00315722">
              <w:rPr>
                <w:rFonts w:ascii="Times New Roman" w:eastAsia="Times New Roman" w:hAnsi="Times New Roman" w:cs="Times New Roman"/>
                <w:color w:val="000000"/>
                <w:sz w:val="28"/>
                <w:szCs w:val="28"/>
                <w:lang w:val="kk-KZ" w:eastAsia="ja-JP"/>
              </w:rPr>
              <w:t>региональный университет</w:t>
            </w:r>
          </w:p>
          <w:p w14:paraId="6BB9800A" w14:textId="77777777"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имени Ахмета Байтұрсынұлы»</w:t>
            </w:r>
          </w:p>
        </w:tc>
      </w:tr>
      <w:tr w:rsidR="00AC56AE" w:rsidRPr="00315722" w14:paraId="47528107" w14:textId="77777777" w:rsidTr="00AC56AE">
        <w:tc>
          <w:tcPr>
            <w:tcW w:w="4077" w:type="dxa"/>
          </w:tcPr>
          <w:p w14:paraId="1B76C8D6" w14:textId="77777777" w:rsidR="00AC56AE" w:rsidRPr="00315722" w:rsidRDefault="00AC56AE" w:rsidP="003D1675">
            <w:pPr>
              <w:jc w:val="center"/>
              <w:rPr>
                <w:rFonts w:ascii="Times New Roman" w:eastAsia="Times New Roman" w:hAnsi="Times New Roman" w:cs="Times New Roman"/>
                <w:b/>
                <w:color w:val="000000"/>
                <w:sz w:val="28"/>
                <w:szCs w:val="28"/>
                <w:lang w:val="kk-KZ" w:eastAsia="ja-JP"/>
              </w:rPr>
            </w:pPr>
          </w:p>
          <w:p w14:paraId="37038C9D" w14:textId="77777777" w:rsidR="00AC56AE" w:rsidRPr="00315722" w:rsidRDefault="00AC56AE" w:rsidP="003D1675">
            <w:pPr>
              <w:jc w:val="center"/>
              <w:rPr>
                <w:sz w:val="28"/>
                <w:szCs w:val="28"/>
              </w:rPr>
            </w:pPr>
            <w:r w:rsidRPr="00315722">
              <w:rPr>
                <w:rFonts w:ascii="Times New Roman" w:eastAsia="Times New Roman" w:hAnsi="Times New Roman" w:cs="Times New Roman"/>
                <w:b/>
                <w:color w:val="000000"/>
                <w:sz w:val="28"/>
                <w:szCs w:val="28"/>
                <w:lang w:val="kk-KZ" w:eastAsia="ja-JP"/>
              </w:rPr>
              <w:t>АНЫҚТАМА</w:t>
            </w:r>
          </w:p>
        </w:tc>
        <w:tc>
          <w:tcPr>
            <w:tcW w:w="1494" w:type="dxa"/>
            <w:vMerge/>
          </w:tcPr>
          <w:p w14:paraId="1E3638D5" w14:textId="77777777" w:rsidR="00AC56AE" w:rsidRPr="00315722" w:rsidRDefault="00AC56AE" w:rsidP="003D1675">
            <w:pPr>
              <w:rPr>
                <w:sz w:val="28"/>
                <w:szCs w:val="28"/>
              </w:rPr>
            </w:pPr>
          </w:p>
        </w:tc>
        <w:tc>
          <w:tcPr>
            <w:tcW w:w="4068" w:type="dxa"/>
          </w:tcPr>
          <w:p w14:paraId="212EF608" w14:textId="77777777" w:rsidR="00AC56AE" w:rsidRPr="00315722" w:rsidRDefault="00AC56AE" w:rsidP="003D1675">
            <w:pPr>
              <w:jc w:val="center"/>
              <w:rPr>
                <w:rFonts w:ascii="Times New Roman" w:eastAsia="Times New Roman" w:hAnsi="Times New Roman" w:cs="Times New Roman"/>
                <w:b/>
                <w:color w:val="000000"/>
                <w:sz w:val="28"/>
                <w:szCs w:val="28"/>
                <w:lang w:eastAsia="ja-JP"/>
              </w:rPr>
            </w:pPr>
          </w:p>
          <w:p w14:paraId="21A162A8" w14:textId="77777777" w:rsidR="00AC56AE" w:rsidRPr="00315722" w:rsidRDefault="00AC56AE" w:rsidP="003D1675">
            <w:pPr>
              <w:jc w:val="center"/>
              <w:rPr>
                <w:sz w:val="28"/>
                <w:szCs w:val="28"/>
              </w:rPr>
            </w:pPr>
            <w:r w:rsidRPr="00315722">
              <w:rPr>
                <w:rFonts w:ascii="Times New Roman" w:eastAsia="Times New Roman" w:hAnsi="Times New Roman" w:cs="Times New Roman"/>
                <w:b/>
                <w:color w:val="000000"/>
                <w:sz w:val="28"/>
                <w:szCs w:val="28"/>
                <w:lang w:eastAsia="ja-JP"/>
              </w:rPr>
              <w:t>СПРАВКА</w:t>
            </w:r>
          </w:p>
        </w:tc>
      </w:tr>
      <w:tr w:rsidR="00AC56AE" w:rsidRPr="00315722" w14:paraId="0BDDD1F0" w14:textId="77777777" w:rsidTr="00AC56AE">
        <w:tc>
          <w:tcPr>
            <w:tcW w:w="4077" w:type="dxa"/>
          </w:tcPr>
          <w:p w14:paraId="432CB3A6" w14:textId="038525A5" w:rsidR="00AC56AE" w:rsidRPr="00315722" w:rsidRDefault="00645EFB" w:rsidP="003D1675">
            <w:pPr>
              <w:jc w:val="center"/>
              <w:rPr>
                <w:sz w:val="28"/>
                <w:szCs w:val="28"/>
              </w:rPr>
            </w:pPr>
            <w:r w:rsidRPr="00315722">
              <w:rPr>
                <w:rFonts w:ascii="Times New Roman" w:eastAsia="Times New Roman" w:hAnsi="Times New Roman" w:cs="Times New Roman"/>
                <w:sz w:val="28"/>
                <w:szCs w:val="28"/>
                <w:lang w:val="kk-KZ" w:eastAsia="ja-JP"/>
              </w:rPr>
              <w:t xml:space="preserve">Ғылыми </w:t>
            </w:r>
            <w:r w:rsidR="006456D3" w:rsidRPr="00315722">
              <w:rPr>
                <w:rFonts w:ascii="Times New Roman" w:eastAsia="Times New Roman" w:hAnsi="Times New Roman" w:cs="Times New Roman"/>
                <w:sz w:val="28"/>
                <w:szCs w:val="28"/>
                <w:lang w:val="kk-KZ" w:eastAsia="ja-JP"/>
              </w:rPr>
              <w:t>кеңестің</w:t>
            </w:r>
            <w:r w:rsidR="006456D3" w:rsidRPr="00315722">
              <w:rPr>
                <w:sz w:val="28"/>
                <w:szCs w:val="28"/>
              </w:rPr>
              <w:t xml:space="preserve"> </w:t>
            </w:r>
            <w:r w:rsidR="00AC56AE" w:rsidRPr="00315722">
              <w:rPr>
                <w:rFonts w:ascii="Times New Roman" w:eastAsia="Times New Roman" w:hAnsi="Times New Roman" w:cs="Times New Roman"/>
                <w:sz w:val="28"/>
                <w:szCs w:val="28"/>
                <w:lang w:val="kk-KZ" w:eastAsia="ja-JP"/>
              </w:rPr>
              <w:t>отырысына</w:t>
            </w:r>
          </w:p>
        </w:tc>
        <w:tc>
          <w:tcPr>
            <w:tcW w:w="1494" w:type="dxa"/>
          </w:tcPr>
          <w:p w14:paraId="24F4B36F" w14:textId="77777777" w:rsidR="00AC56AE" w:rsidRPr="00315722" w:rsidRDefault="00AC56AE" w:rsidP="003D1675">
            <w:pPr>
              <w:rPr>
                <w:sz w:val="28"/>
                <w:szCs w:val="28"/>
              </w:rPr>
            </w:pPr>
          </w:p>
        </w:tc>
        <w:tc>
          <w:tcPr>
            <w:tcW w:w="4068" w:type="dxa"/>
          </w:tcPr>
          <w:p w14:paraId="5A9471C7" w14:textId="4B67C330"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 xml:space="preserve">на заседание </w:t>
            </w:r>
            <w:r w:rsidR="00645EFB" w:rsidRPr="00315722">
              <w:rPr>
                <w:rFonts w:ascii="Times New Roman" w:eastAsia="Times New Roman" w:hAnsi="Times New Roman" w:cs="Times New Roman"/>
                <w:color w:val="000000"/>
                <w:sz w:val="28"/>
                <w:szCs w:val="28"/>
                <w:lang w:val="kk-KZ" w:eastAsia="ja-JP"/>
              </w:rPr>
              <w:t>Ученого</w:t>
            </w:r>
            <w:r w:rsidR="006456D3" w:rsidRPr="00315722">
              <w:rPr>
                <w:rFonts w:ascii="Times New Roman" w:eastAsia="Times New Roman" w:hAnsi="Times New Roman" w:cs="Times New Roman"/>
                <w:color w:val="000000"/>
                <w:sz w:val="28"/>
                <w:szCs w:val="28"/>
                <w:lang w:val="kk-KZ" w:eastAsia="ja-JP"/>
              </w:rPr>
              <w:t xml:space="preserve"> совета</w:t>
            </w:r>
          </w:p>
        </w:tc>
      </w:tr>
      <w:tr w:rsidR="00AC56AE" w:rsidRPr="00315722" w14:paraId="7D0B9897" w14:textId="77777777" w:rsidTr="00AC56AE">
        <w:tc>
          <w:tcPr>
            <w:tcW w:w="4077" w:type="dxa"/>
          </w:tcPr>
          <w:p w14:paraId="57CB9437" w14:textId="5FF1C506" w:rsidR="00AC56AE" w:rsidRPr="00315722" w:rsidRDefault="00645EFB" w:rsidP="003D1675">
            <w:pPr>
              <w:jc w:val="center"/>
              <w:rPr>
                <w:sz w:val="28"/>
                <w:szCs w:val="28"/>
              </w:rPr>
            </w:pPr>
            <w:r w:rsidRPr="00315722">
              <w:rPr>
                <w:rFonts w:ascii="Times New Roman" w:eastAsia="Times New Roman" w:hAnsi="Times New Roman" w:cs="Times New Roman"/>
                <w:iCs/>
                <w:sz w:val="28"/>
                <w:szCs w:val="28"/>
                <w:lang w:val="en-US" w:eastAsia="ru-RU"/>
              </w:rPr>
              <w:t>25</w:t>
            </w:r>
            <w:r w:rsidR="00AC56AE" w:rsidRPr="00315722">
              <w:rPr>
                <w:rFonts w:ascii="Times New Roman" w:eastAsia="Times New Roman" w:hAnsi="Times New Roman" w:cs="Times New Roman"/>
                <w:iCs/>
                <w:sz w:val="28"/>
                <w:szCs w:val="28"/>
                <w:lang w:eastAsia="ru-RU"/>
              </w:rPr>
              <w:t>.</w:t>
            </w:r>
            <w:r w:rsidR="006456D3" w:rsidRPr="00315722">
              <w:rPr>
                <w:rFonts w:ascii="Times New Roman" w:eastAsia="Times New Roman" w:hAnsi="Times New Roman" w:cs="Times New Roman"/>
                <w:iCs/>
                <w:sz w:val="28"/>
                <w:szCs w:val="28"/>
                <w:lang w:eastAsia="ru-RU"/>
              </w:rPr>
              <w:t>1</w:t>
            </w:r>
            <w:r w:rsidRPr="00315722">
              <w:rPr>
                <w:rFonts w:ascii="Times New Roman" w:eastAsia="Times New Roman" w:hAnsi="Times New Roman" w:cs="Times New Roman"/>
                <w:iCs/>
                <w:sz w:val="28"/>
                <w:szCs w:val="28"/>
                <w:lang w:val="en-US" w:eastAsia="ru-RU"/>
              </w:rPr>
              <w:t>2</w:t>
            </w:r>
            <w:r w:rsidR="00AC56AE" w:rsidRPr="00315722">
              <w:rPr>
                <w:rFonts w:ascii="Times New Roman" w:eastAsia="Times New Roman" w:hAnsi="Times New Roman" w:cs="Times New Roman"/>
                <w:iCs/>
                <w:sz w:val="28"/>
                <w:szCs w:val="28"/>
                <w:lang w:eastAsia="ru-RU"/>
              </w:rPr>
              <w:t>.2024 ж</w:t>
            </w:r>
            <w:r w:rsidR="00AC56AE" w:rsidRPr="00315722">
              <w:rPr>
                <w:rFonts w:ascii="Times New Roman" w:eastAsia="Times New Roman" w:hAnsi="Times New Roman" w:cs="Times New Roman"/>
                <w:color w:val="000000"/>
                <w:sz w:val="28"/>
                <w:szCs w:val="28"/>
                <w:lang w:val="kk-KZ" w:eastAsia="ja-JP"/>
              </w:rPr>
              <w:t>.</w:t>
            </w:r>
          </w:p>
        </w:tc>
        <w:tc>
          <w:tcPr>
            <w:tcW w:w="1494" w:type="dxa"/>
          </w:tcPr>
          <w:p w14:paraId="3801EC61" w14:textId="77777777" w:rsidR="00AC56AE" w:rsidRPr="00315722" w:rsidRDefault="00AC56AE" w:rsidP="003D1675">
            <w:pPr>
              <w:jc w:val="center"/>
              <w:rPr>
                <w:sz w:val="28"/>
                <w:szCs w:val="28"/>
              </w:rPr>
            </w:pPr>
          </w:p>
        </w:tc>
        <w:tc>
          <w:tcPr>
            <w:tcW w:w="4068" w:type="dxa"/>
          </w:tcPr>
          <w:p w14:paraId="3CD61C61" w14:textId="3C4289DE" w:rsidR="00AC56AE" w:rsidRPr="00315722" w:rsidRDefault="00645EFB" w:rsidP="003D1675">
            <w:pPr>
              <w:jc w:val="center"/>
              <w:rPr>
                <w:sz w:val="28"/>
                <w:szCs w:val="28"/>
              </w:rPr>
            </w:pPr>
            <w:r w:rsidRPr="00315722">
              <w:rPr>
                <w:rFonts w:ascii="Times New Roman" w:eastAsia="Times New Roman" w:hAnsi="Times New Roman" w:cs="Times New Roman"/>
                <w:iCs/>
                <w:sz w:val="28"/>
                <w:szCs w:val="28"/>
                <w:lang w:val="en-US" w:eastAsia="ru-RU"/>
              </w:rPr>
              <w:t>25</w:t>
            </w:r>
            <w:r w:rsidR="00AC56AE" w:rsidRPr="00315722">
              <w:rPr>
                <w:rFonts w:ascii="Times New Roman" w:eastAsia="Times New Roman" w:hAnsi="Times New Roman" w:cs="Times New Roman"/>
                <w:iCs/>
                <w:sz w:val="28"/>
                <w:szCs w:val="28"/>
                <w:lang w:eastAsia="ru-RU"/>
              </w:rPr>
              <w:t>.</w:t>
            </w:r>
            <w:r w:rsidR="006456D3" w:rsidRPr="00315722">
              <w:rPr>
                <w:rFonts w:ascii="Times New Roman" w:eastAsia="Times New Roman" w:hAnsi="Times New Roman" w:cs="Times New Roman"/>
                <w:iCs/>
                <w:sz w:val="28"/>
                <w:szCs w:val="28"/>
                <w:lang w:eastAsia="ru-RU"/>
              </w:rPr>
              <w:t>1</w:t>
            </w:r>
            <w:r w:rsidRPr="00315722">
              <w:rPr>
                <w:rFonts w:ascii="Times New Roman" w:eastAsia="Times New Roman" w:hAnsi="Times New Roman" w:cs="Times New Roman"/>
                <w:iCs/>
                <w:sz w:val="28"/>
                <w:szCs w:val="28"/>
                <w:lang w:val="en-US" w:eastAsia="ru-RU"/>
              </w:rPr>
              <w:t>2</w:t>
            </w:r>
            <w:r w:rsidR="00AC56AE" w:rsidRPr="00315722">
              <w:rPr>
                <w:rFonts w:ascii="Times New Roman" w:eastAsia="Times New Roman" w:hAnsi="Times New Roman" w:cs="Times New Roman"/>
                <w:iCs/>
                <w:sz w:val="28"/>
                <w:szCs w:val="28"/>
                <w:lang w:eastAsia="ru-RU"/>
              </w:rPr>
              <w:t>.2024</w:t>
            </w:r>
            <w:r w:rsidR="00AC56AE" w:rsidRPr="00315722">
              <w:rPr>
                <w:rFonts w:ascii="Times New Roman" w:eastAsia="Times New Roman" w:hAnsi="Times New Roman" w:cs="Times New Roman"/>
                <w:color w:val="000000"/>
                <w:sz w:val="28"/>
                <w:szCs w:val="28"/>
                <w:lang w:val="kk-KZ" w:eastAsia="ja-JP"/>
              </w:rPr>
              <w:t>г.</w:t>
            </w:r>
          </w:p>
        </w:tc>
      </w:tr>
      <w:tr w:rsidR="00AC56AE" w:rsidRPr="00315722" w14:paraId="61E66BC7" w14:textId="77777777" w:rsidTr="00AC56AE">
        <w:tc>
          <w:tcPr>
            <w:tcW w:w="4077" w:type="dxa"/>
          </w:tcPr>
          <w:p w14:paraId="40E9D383" w14:textId="77777777" w:rsidR="00AC56AE" w:rsidRPr="00315722" w:rsidRDefault="00AC56AE" w:rsidP="003D1675">
            <w:pPr>
              <w:jc w:val="center"/>
              <w:rPr>
                <w:rFonts w:ascii="Times New Roman" w:eastAsia="Times New Roman" w:hAnsi="Times New Roman" w:cs="Times New Roman"/>
                <w:iCs/>
                <w:sz w:val="28"/>
                <w:szCs w:val="28"/>
                <w:lang w:eastAsia="ru-RU"/>
              </w:rPr>
            </w:pPr>
            <w:r w:rsidRPr="00315722">
              <w:rPr>
                <w:rFonts w:ascii="Times New Roman" w:eastAsia="Times New Roman" w:hAnsi="Times New Roman" w:cs="Times New Roman"/>
                <w:color w:val="000000"/>
                <w:sz w:val="28"/>
                <w:szCs w:val="28"/>
                <w:lang w:val="kk-KZ" w:eastAsia="ja-JP"/>
              </w:rPr>
              <w:t>Қостанай қаласы</w:t>
            </w:r>
          </w:p>
        </w:tc>
        <w:tc>
          <w:tcPr>
            <w:tcW w:w="1494" w:type="dxa"/>
          </w:tcPr>
          <w:p w14:paraId="65642FC4" w14:textId="77777777" w:rsidR="00AC56AE" w:rsidRPr="00315722" w:rsidRDefault="00AC56AE" w:rsidP="003D1675">
            <w:pPr>
              <w:jc w:val="center"/>
              <w:rPr>
                <w:sz w:val="28"/>
                <w:szCs w:val="28"/>
              </w:rPr>
            </w:pPr>
          </w:p>
        </w:tc>
        <w:tc>
          <w:tcPr>
            <w:tcW w:w="4068" w:type="dxa"/>
          </w:tcPr>
          <w:p w14:paraId="4F89509D" w14:textId="77777777" w:rsidR="00AC56AE" w:rsidRPr="00315722" w:rsidRDefault="00AC56AE" w:rsidP="003D1675">
            <w:pPr>
              <w:jc w:val="center"/>
              <w:rPr>
                <w:rFonts w:ascii="Times New Roman" w:eastAsia="Times New Roman" w:hAnsi="Times New Roman" w:cs="Times New Roman"/>
                <w:iCs/>
                <w:sz w:val="28"/>
                <w:szCs w:val="28"/>
                <w:lang w:eastAsia="ru-RU"/>
              </w:rPr>
            </w:pPr>
            <w:r w:rsidRPr="00315722">
              <w:rPr>
                <w:rFonts w:ascii="Times New Roman" w:eastAsia="Times New Roman" w:hAnsi="Times New Roman" w:cs="Times New Roman"/>
                <w:color w:val="000000"/>
                <w:sz w:val="28"/>
                <w:szCs w:val="28"/>
                <w:lang w:val="kk-KZ" w:eastAsia="ja-JP"/>
              </w:rPr>
              <w:t>город Костанай</w:t>
            </w:r>
          </w:p>
        </w:tc>
      </w:tr>
    </w:tbl>
    <w:p w14:paraId="5FC19BD7" w14:textId="77777777" w:rsidR="00AC56AE" w:rsidRPr="00315722" w:rsidRDefault="00AC56AE" w:rsidP="00AC56AE">
      <w:pPr>
        <w:rPr>
          <w:sz w:val="28"/>
          <w:szCs w:val="28"/>
        </w:rPr>
      </w:pPr>
    </w:p>
    <w:p w14:paraId="0DCD220B" w14:textId="77777777" w:rsidR="00F023F6" w:rsidRPr="00F023F6" w:rsidRDefault="00F023F6" w:rsidP="00F023F6">
      <w:pPr>
        <w:spacing w:after="0" w:line="240" w:lineRule="auto"/>
        <w:ind w:firstLine="708"/>
        <w:jc w:val="both"/>
        <w:rPr>
          <w:rFonts w:ascii="Times New Roman" w:hAnsi="Times New Roman" w:cs="Times New Roman"/>
          <w:b/>
          <w:bCs/>
          <w:i/>
          <w:sz w:val="28"/>
          <w:szCs w:val="28"/>
        </w:rPr>
      </w:pPr>
      <w:r w:rsidRPr="00F023F6">
        <w:rPr>
          <w:rFonts w:ascii="Times New Roman" w:hAnsi="Times New Roman" w:cs="Times New Roman"/>
          <w:b/>
          <w:bCs/>
          <w:i/>
          <w:sz w:val="28"/>
          <w:szCs w:val="28"/>
        </w:rPr>
        <w:t>Білім беру бағдарламаларының тиімділігі туралы</w:t>
      </w:r>
    </w:p>
    <w:p w14:paraId="119FB593" w14:textId="77777777" w:rsidR="00F023F6" w:rsidRPr="00F023F6" w:rsidRDefault="00F023F6" w:rsidP="00F023F6">
      <w:pPr>
        <w:spacing w:after="0" w:line="240" w:lineRule="auto"/>
        <w:ind w:firstLine="708"/>
        <w:jc w:val="both"/>
        <w:rPr>
          <w:rFonts w:ascii="Times New Roman" w:hAnsi="Times New Roman" w:cs="Times New Roman"/>
          <w:b/>
          <w:bCs/>
          <w:i/>
          <w:sz w:val="28"/>
          <w:szCs w:val="28"/>
        </w:rPr>
      </w:pPr>
    </w:p>
    <w:p w14:paraId="37057702" w14:textId="77777777" w:rsidR="00F023F6" w:rsidRPr="00F023F6" w:rsidRDefault="00F023F6" w:rsidP="00F023F6">
      <w:pPr>
        <w:spacing w:after="0" w:line="240" w:lineRule="auto"/>
        <w:ind w:firstLine="708"/>
        <w:jc w:val="both"/>
        <w:rPr>
          <w:rFonts w:ascii="Times New Roman" w:hAnsi="Times New Roman" w:cs="Times New Roman"/>
          <w:iCs/>
          <w:sz w:val="28"/>
          <w:szCs w:val="28"/>
        </w:rPr>
      </w:pPr>
      <w:r w:rsidRPr="00F023F6">
        <w:rPr>
          <w:rFonts w:ascii="Times New Roman" w:hAnsi="Times New Roman" w:cs="Times New Roman"/>
          <w:iCs/>
          <w:sz w:val="28"/>
          <w:szCs w:val="28"/>
        </w:rPr>
        <w:t xml:space="preserve">Білім беру бағдарламаларының тиімділігі ЖЖОКБҰ қызметінің тиімділік критерийлерін орындау, жоғары оқу орындарында тиімді менеджмент жүйесін енгізу және білім беру бағдарламаларын басқару жүйесін жаңғырту қажеттілігі жағдайында өзекті бола түсуде. </w:t>
      </w:r>
    </w:p>
    <w:p w14:paraId="67B360D0" w14:textId="77777777" w:rsidR="00F023F6" w:rsidRPr="00F023F6" w:rsidRDefault="00F023F6" w:rsidP="00F023F6">
      <w:pPr>
        <w:spacing w:after="0" w:line="240" w:lineRule="auto"/>
        <w:ind w:firstLine="708"/>
        <w:jc w:val="both"/>
        <w:rPr>
          <w:rFonts w:ascii="Times New Roman" w:hAnsi="Times New Roman" w:cs="Times New Roman"/>
          <w:iCs/>
          <w:sz w:val="28"/>
          <w:szCs w:val="28"/>
        </w:rPr>
      </w:pPr>
      <w:r w:rsidRPr="00F023F6">
        <w:rPr>
          <w:rFonts w:ascii="Times New Roman" w:hAnsi="Times New Roman" w:cs="Times New Roman"/>
          <w:iCs/>
          <w:sz w:val="28"/>
          <w:szCs w:val="28"/>
        </w:rPr>
        <w:t>2024 жылғы қарашадағы жағдай бойынша МНиВОРК ОӘДО "ББ тізілімі" АЖ (бұдан әрі-тізілім) жоғары және жоғары оқу орнынан кейінгі білім берудің 143 білім беру бағдарламаларын тіркеді. Бакалаврдың (мамандықтың) 70 білім беру бағдарламасы 27 дайындық бағыты. Магистратураның (ғылыми-педагогикалық және бейіндік бағыттағы) 52 білім беру бағдарламасы 18 дайындық бағыты, 21 докторантураның білім беру бағдарламасы 12 дайындық бағыты. 143 бағдарламаның 106 - сы қолданыстағы, 22 - сі жаңа, 15-і инновациялық.</w:t>
      </w:r>
    </w:p>
    <w:p w14:paraId="3B47A745" w14:textId="022311D2" w:rsidR="006A72D1" w:rsidRDefault="00F023F6" w:rsidP="00F023F6">
      <w:pPr>
        <w:spacing w:after="0" w:line="240" w:lineRule="auto"/>
        <w:ind w:firstLine="708"/>
        <w:jc w:val="both"/>
        <w:rPr>
          <w:rFonts w:ascii="Times New Roman" w:hAnsi="Times New Roman" w:cs="Times New Roman"/>
          <w:iCs/>
          <w:sz w:val="28"/>
          <w:szCs w:val="28"/>
        </w:rPr>
      </w:pPr>
      <w:r w:rsidRPr="00F023F6">
        <w:rPr>
          <w:rFonts w:ascii="Times New Roman" w:hAnsi="Times New Roman" w:cs="Times New Roman"/>
          <w:iCs/>
          <w:sz w:val="28"/>
          <w:szCs w:val="28"/>
        </w:rPr>
        <w:t>ОП тиімділігін талдау кезінде ескеру қажет бірінші негізгі мәселе-ОП сапасы. Бұған критерийлер кіреді экспенің оң қорытындысы</w:t>
      </w:r>
    </w:p>
    <w:p w14:paraId="166F4968" w14:textId="77777777" w:rsidR="00F023F6" w:rsidRPr="00F023F6" w:rsidRDefault="00F023F6" w:rsidP="00F023F6">
      <w:pPr>
        <w:spacing w:after="0" w:line="240" w:lineRule="auto"/>
        <w:ind w:firstLine="708"/>
        <w:jc w:val="both"/>
        <w:rPr>
          <w:rFonts w:ascii="Times New Roman" w:hAnsi="Times New Roman"/>
          <w:iCs/>
          <w:sz w:val="28"/>
          <w:szCs w:val="28"/>
        </w:rPr>
      </w:pPr>
    </w:p>
    <w:tbl>
      <w:tblPr>
        <w:tblStyle w:val="a6"/>
        <w:tblW w:w="9324" w:type="dxa"/>
        <w:tblLook w:val="04A0" w:firstRow="1" w:lastRow="0" w:firstColumn="1" w:lastColumn="0" w:noHBand="0" w:noVBand="1"/>
      </w:tblPr>
      <w:tblGrid>
        <w:gridCol w:w="1892"/>
        <w:gridCol w:w="1272"/>
        <w:gridCol w:w="1564"/>
        <w:gridCol w:w="1017"/>
        <w:gridCol w:w="1017"/>
        <w:gridCol w:w="1545"/>
        <w:gridCol w:w="1017"/>
      </w:tblGrid>
      <w:tr w:rsidR="006A72D1" w:rsidRPr="00315722" w14:paraId="6C5289A3" w14:textId="77777777" w:rsidTr="00F023F6">
        <w:trPr>
          <w:trHeight w:val="318"/>
        </w:trPr>
        <w:tc>
          <w:tcPr>
            <w:tcW w:w="1892" w:type="dxa"/>
            <w:vMerge w:val="restart"/>
          </w:tcPr>
          <w:p w14:paraId="46E8DCCE" w14:textId="05CCEB4A" w:rsidR="006A72D1" w:rsidRPr="00315722" w:rsidRDefault="00F023F6" w:rsidP="00C4244E">
            <w:pPr>
              <w:jc w:val="both"/>
              <w:rPr>
                <w:rFonts w:ascii="Times New Roman" w:hAnsi="Times New Roman"/>
                <w:sz w:val="28"/>
                <w:szCs w:val="28"/>
              </w:rPr>
            </w:pPr>
            <w:r w:rsidRPr="00F023F6">
              <w:rPr>
                <w:rFonts w:ascii="Times New Roman" w:hAnsi="Times New Roman"/>
                <w:sz w:val="28"/>
                <w:szCs w:val="28"/>
              </w:rPr>
              <w:t>Білім деңгейі</w:t>
            </w:r>
          </w:p>
        </w:tc>
        <w:tc>
          <w:tcPr>
            <w:tcW w:w="3772" w:type="dxa"/>
            <w:gridSpan w:val="3"/>
          </w:tcPr>
          <w:p w14:paraId="6E6BA366" w14:textId="2701C164"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2023-2024 </w:t>
            </w:r>
          </w:p>
        </w:tc>
        <w:tc>
          <w:tcPr>
            <w:tcW w:w="3660" w:type="dxa"/>
            <w:gridSpan w:val="3"/>
          </w:tcPr>
          <w:p w14:paraId="326874B8" w14:textId="0964CF35"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на 2024-2025 </w:t>
            </w:r>
          </w:p>
        </w:tc>
      </w:tr>
      <w:tr w:rsidR="006A72D1" w:rsidRPr="00315722" w14:paraId="43C8E95C" w14:textId="77777777" w:rsidTr="00F023F6">
        <w:trPr>
          <w:trHeight w:val="279"/>
        </w:trPr>
        <w:tc>
          <w:tcPr>
            <w:tcW w:w="1892" w:type="dxa"/>
            <w:vMerge/>
          </w:tcPr>
          <w:p w14:paraId="35772767" w14:textId="77777777" w:rsidR="006A72D1" w:rsidRPr="00315722" w:rsidRDefault="006A72D1" w:rsidP="00C4244E">
            <w:pPr>
              <w:jc w:val="both"/>
              <w:rPr>
                <w:rFonts w:ascii="Times New Roman" w:hAnsi="Times New Roman"/>
                <w:sz w:val="28"/>
                <w:szCs w:val="28"/>
              </w:rPr>
            </w:pPr>
          </w:p>
        </w:tc>
        <w:tc>
          <w:tcPr>
            <w:tcW w:w="1120" w:type="dxa"/>
          </w:tcPr>
          <w:p w14:paraId="372F778E" w14:textId="37EE7EB0" w:rsidR="006A72D1" w:rsidRPr="00315722" w:rsidRDefault="00F023F6" w:rsidP="00C4244E">
            <w:pPr>
              <w:jc w:val="center"/>
              <w:rPr>
                <w:rFonts w:ascii="Times New Roman" w:hAnsi="Times New Roman"/>
                <w:sz w:val="28"/>
                <w:szCs w:val="28"/>
              </w:rPr>
            </w:pPr>
            <w:r w:rsidRPr="00F023F6">
              <w:rPr>
                <w:rFonts w:ascii="Times New Roman" w:hAnsi="Times New Roman"/>
                <w:sz w:val="28"/>
                <w:szCs w:val="28"/>
              </w:rPr>
              <w:t xml:space="preserve">Барлығы </w:t>
            </w:r>
            <w:r>
              <w:rPr>
                <w:rFonts w:ascii="Times New Roman" w:hAnsi="Times New Roman"/>
                <w:sz w:val="28"/>
                <w:szCs w:val="28"/>
              </w:rPr>
              <w:t>ББ</w:t>
            </w:r>
          </w:p>
        </w:tc>
        <w:tc>
          <w:tcPr>
            <w:tcW w:w="1623" w:type="dxa"/>
          </w:tcPr>
          <w:p w14:paraId="330A53F6"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ОП на основе ПС</w:t>
            </w:r>
          </w:p>
        </w:tc>
        <w:tc>
          <w:tcPr>
            <w:tcW w:w="1029" w:type="dxa"/>
          </w:tcPr>
          <w:p w14:paraId="2E43C1E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ПС</w:t>
            </w:r>
          </w:p>
        </w:tc>
        <w:tc>
          <w:tcPr>
            <w:tcW w:w="1029" w:type="dxa"/>
          </w:tcPr>
          <w:p w14:paraId="7871D9CF"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ОП</w:t>
            </w:r>
          </w:p>
        </w:tc>
        <w:tc>
          <w:tcPr>
            <w:tcW w:w="1602" w:type="dxa"/>
          </w:tcPr>
          <w:p w14:paraId="42BDCAD1"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ОП на основе ПС</w:t>
            </w:r>
          </w:p>
        </w:tc>
        <w:tc>
          <w:tcPr>
            <w:tcW w:w="1029" w:type="dxa"/>
          </w:tcPr>
          <w:p w14:paraId="061A8E1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ПС</w:t>
            </w:r>
          </w:p>
        </w:tc>
      </w:tr>
      <w:tr w:rsidR="00F023F6" w:rsidRPr="00315722" w14:paraId="0B1D1F5C" w14:textId="77777777" w:rsidTr="00F023F6">
        <w:trPr>
          <w:trHeight w:val="446"/>
        </w:trPr>
        <w:tc>
          <w:tcPr>
            <w:tcW w:w="1892" w:type="dxa"/>
          </w:tcPr>
          <w:p w14:paraId="0DAD3755" w14:textId="56D3113E" w:rsidR="00F023F6" w:rsidRPr="00315722" w:rsidRDefault="00F023F6" w:rsidP="00F023F6">
            <w:pPr>
              <w:jc w:val="both"/>
              <w:rPr>
                <w:rFonts w:ascii="Times New Roman" w:hAnsi="Times New Roman"/>
                <w:sz w:val="28"/>
                <w:szCs w:val="28"/>
              </w:rPr>
            </w:pPr>
            <w:r w:rsidRPr="00F023F6">
              <w:rPr>
                <w:rFonts w:ascii="Times New Roman" w:hAnsi="Times New Roman"/>
                <w:sz w:val="28"/>
                <w:szCs w:val="28"/>
              </w:rPr>
              <w:t>Бакалавриат (мамандық)</w:t>
            </w:r>
          </w:p>
        </w:tc>
        <w:tc>
          <w:tcPr>
            <w:tcW w:w="1120" w:type="dxa"/>
          </w:tcPr>
          <w:p w14:paraId="4930613D"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68</w:t>
            </w:r>
          </w:p>
        </w:tc>
        <w:tc>
          <w:tcPr>
            <w:tcW w:w="1623" w:type="dxa"/>
          </w:tcPr>
          <w:p w14:paraId="600F4530"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48</w:t>
            </w:r>
          </w:p>
        </w:tc>
        <w:tc>
          <w:tcPr>
            <w:tcW w:w="1029" w:type="dxa"/>
          </w:tcPr>
          <w:p w14:paraId="44DE2F15"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70</w:t>
            </w:r>
          </w:p>
        </w:tc>
        <w:tc>
          <w:tcPr>
            <w:tcW w:w="1029" w:type="dxa"/>
          </w:tcPr>
          <w:p w14:paraId="1AC12102"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70</w:t>
            </w:r>
          </w:p>
        </w:tc>
        <w:tc>
          <w:tcPr>
            <w:tcW w:w="1602" w:type="dxa"/>
          </w:tcPr>
          <w:p w14:paraId="7E1BFE2C"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63</w:t>
            </w:r>
          </w:p>
        </w:tc>
        <w:tc>
          <w:tcPr>
            <w:tcW w:w="1029" w:type="dxa"/>
          </w:tcPr>
          <w:p w14:paraId="12F2E3E2"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 xml:space="preserve">96 </w:t>
            </w:r>
          </w:p>
        </w:tc>
      </w:tr>
      <w:tr w:rsidR="00F023F6" w:rsidRPr="00315722" w14:paraId="76FB98D6" w14:textId="77777777" w:rsidTr="00F023F6">
        <w:trPr>
          <w:trHeight w:val="222"/>
        </w:trPr>
        <w:tc>
          <w:tcPr>
            <w:tcW w:w="1892" w:type="dxa"/>
          </w:tcPr>
          <w:p w14:paraId="7748C01F" w14:textId="6A86A5A9" w:rsidR="00F023F6" w:rsidRPr="00315722" w:rsidRDefault="00F023F6" w:rsidP="00F023F6">
            <w:pPr>
              <w:jc w:val="both"/>
              <w:rPr>
                <w:rFonts w:ascii="Times New Roman" w:hAnsi="Times New Roman"/>
                <w:sz w:val="28"/>
                <w:szCs w:val="28"/>
              </w:rPr>
            </w:pPr>
            <w:r w:rsidRPr="00F023F6">
              <w:rPr>
                <w:rFonts w:ascii="Times New Roman" w:hAnsi="Times New Roman"/>
                <w:sz w:val="28"/>
                <w:szCs w:val="28"/>
              </w:rPr>
              <w:t>Магистратура</w:t>
            </w:r>
          </w:p>
        </w:tc>
        <w:tc>
          <w:tcPr>
            <w:tcW w:w="1120" w:type="dxa"/>
          </w:tcPr>
          <w:p w14:paraId="3CFF4BD7"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49</w:t>
            </w:r>
          </w:p>
        </w:tc>
        <w:tc>
          <w:tcPr>
            <w:tcW w:w="1623" w:type="dxa"/>
          </w:tcPr>
          <w:p w14:paraId="290D4435"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23</w:t>
            </w:r>
          </w:p>
        </w:tc>
        <w:tc>
          <w:tcPr>
            <w:tcW w:w="1029" w:type="dxa"/>
          </w:tcPr>
          <w:p w14:paraId="7CFE7B91"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12</w:t>
            </w:r>
          </w:p>
        </w:tc>
        <w:tc>
          <w:tcPr>
            <w:tcW w:w="1029" w:type="dxa"/>
          </w:tcPr>
          <w:p w14:paraId="49D77378"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52</w:t>
            </w:r>
          </w:p>
        </w:tc>
        <w:tc>
          <w:tcPr>
            <w:tcW w:w="1602" w:type="dxa"/>
          </w:tcPr>
          <w:p w14:paraId="69759DEE"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46</w:t>
            </w:r>
          </w:p>
        </w:tc>
        <w:tc>
          <w:tcPr>
            <w:tcW w:w="1029" w:type="dxa"/>
          </w:tcPr>
          <w:p w14:paraId="60389D68"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 xml:space="preserve">31/ </w:t>
            </w:r>
          </w:p>
        </w:tc>
      </w:tr>
      <w:tr w:rsidR="00F023F6" w:rsidRPr="00315722" w14:paraId="0C48C57D" w14:textId="77777777" w:rsidTr="00F023F6">
        <w:trPr>
          <w:trHeight w:val="222"/>
        </w:trPr>
        <w:tc>
          <w:tcPr>
            <w:tcW w:w="1892" w:type="dxa"/>
          </w:tcPr>
          <w:p w14:paraId="2D2345D3" w14:textId="4D1E87F2" w:rsidR="00F023F6" w:rsidRPr="00315722" w:rsidRDefault="00F023F6" w:rsidP="00F023F6">
            <w:pPr>
              <w:jc w:val="both"/>
              <w:rPr>
                <w:rFonts w:ascii="Times New Roman" w:hAnsi="Times New Roman"/>
                <w:sz w:val="28"/>
                <w:szCs w:val="28"/>
              </w:rPr>
            </w:pPr>
            <w:r w:rsidRPr="00F023F6">
              <w:rPr>
                <w:rFonts w:ascii="Times New Roman" w:hAnsi="Times New Roman"/>
                <w:sz w:val="28"/>
                <w:szCs w:val="28"/>
              </w:rPr>
              <w:t>Докторантура</w:t>
            </w:r>
          </w:p>
        </w:tc>
        <w:tc>
          <w:tcPr>
            <w:tcW w:w="1120" w:type="dxa"/>
          </w:tcPr>
          <w:p w14:paraId="3D3A81B3"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18</w:t>
            </w:r>
          </w:p>
        </w:tc>
        <w:tc>
          <w:tcPr>
            <w:tcW w:w="1623" w:type="dxa"/>
          </w:tcPr>
          <w:p w14:paraId="088E85E6"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7</w:t>
            </w:r>
          </w:p>
        </w:tc>
        <w:tc>
          <w:tcPr>
            <w:tcW w:w="1029" w:type="dxa"/>
          </w:tcPr>
          <w:p w14:paraId="5EB3822C"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6</w:t>
            </w:r>
          </w:p>
        </w:tc>
        <w:tc>
          <w:tcPr>
            <w:tcW w:w="1029" w:type="dxa"/>
          </w:tcPr>
          <w:p w14:paraId="2795C5FA"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21</w:t>
            </w:r>
          </w:p>
        </w:tc>
        <w:tc>
          <w:tcPr>
            <w:tcW w:w="1602" w:type="dxa"/>
          </w:tcPr>
          <w:p w14:paraId="37D8C231"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21</w:t>
            </w:r>
          </w:p>
        </w:tc>
        <w:tc>
          <w:tcPr>
            <w:tcW w:w="1029" w:type="dxa"/>
          </w:tcPr>
          <w:p w14:paraId="119E9863"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14</w:t>
            </w:r>
          </w:p>
        </w:tc>
      </w:tr>
      <w:tr w:rsidR="00F023F6" w:rsidRPr="00315722" w14:paraId="2B26EC50" w14:textId="77777777" w:rsidTr="00F023F6">
        <w:trPr>
          <w:trHeight w:val="222"/>
        </w:trPr>
        <w:tc>
          <w:tcPr>
            <w:tcW w:w="1892" w:type="dxa"/>
          </w:tcPr>
          <w:p w14:paraId="5ECD16BD" w14:textId="16F4FA26" w:rsidR="00F023F6" w:rsidRPr="00315722" w:rsidRDefault="00F023F6" w:rsidP="00F023F6">
            <w:pPr>
              <w:jc w:val="both"/>
              <w:rPr>
                <w:rFonts w:ascii="Times New Roman" w:hAnsi="Times New Roman"/>
                <w:sz w:val="28"/>
                <w:szCs w:val="28"/>
              </w:rPr>
            </w:pPr>
            <w:r w:rsidRPr="00F023F6">
              <w:rPr>
                <w:rFonts w:ascii="Times New Roman" w:hAnsi="Times New Roman"/>
                <w:sz w:val="28"/>
                <w:szCs w:val="28"/>
              </w:rPr>
              <w:t>Барлығы</w:t>
            </w:r>
          </w:p>
        </w:tc>
        <w:tc>
          <w:tcPr>
            <w:tcW w:w="1120" w:type="dxa"/>
          </w:tcPr>
          <w:p w14:paraId="7CEE31B0"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135</w:t>
            </w:r>
          </w:p>
        </w:tc>
        <w:tc>
          <w:tcPr>
            <w:tcW w:w="1623" w:type="dxa"/>
          </w:tcPr>
          <w:p w14:paraId="58F535C1"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78</w:t>
            </w:r>
          </w:p>
        </w:tc>
        <w:tc>
          <w:tcPr>
            <w:tcW w:w="1029" w:type="dxa"/>
          </w:tcPr>
          <w:p w14:paraId="521C2107" w14:textId="77777777" w:rsidR="00F023F6" w:rsidRPr="00315722" w:rsidRDefault="00F023F6" w:rsidP="00F023F6">
            <w:pPr>
              <w:jc w:val="center"/>
              <w:rPr>
                <w:rFonts w:ascii="Times New Roman" w:hAnsi="Times New Roman"/>
                <w:sz w:val="28"/>
                <w:szCs w:val="28"/>
              </w:rPr>
            </w:pPr>
          </w:p>
        </w:tc>
        <w:tc>
          <w:tcPr>
            <w:tcW w:w="1029" w:type="dxa"/>
          </w:tcPr>
          <w:p w14:paraId="1C2BE34F"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143</w:t>
            </w:r>
          </w:p>
        </w:tc>
        <w:tc>
          <w:tcPr>
            <w:tcW w:w="1602" w:type="dxa"/>
          </w:tcPr>
          <w:p w14:paraId="5ABC1867"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130</w:t>
            </w:r>
          </w:p>
        </w:tc>
        <w:tc>
          <w:tcPr>
            <w:tcW w:w="1029" w:type="dxa"/>
          </w:tcPr>
          <w:p w14:paraId="7D0104ED" w14:textId="77777777" w:rsidR="00F023F6" w:rsidRPr="00315722" w:rsidRDefault="00F023F6" w:rsidP="00F023F6">
            <w:pPr>
              <w:jc w:val="center"/>
              <w:rPr>
                <w:rFonts w:ascii="Times New Roman" w:hAnsi="Times New Roman"/>
                <w:sz w:val="28"/>
                <w:szCs w:val="28"/>
              </w:rPr>
            </w:pPr>
            <w:r w:rsidRPr="00315722">
              <w:rPr>
                <w:rFonts w:ascii="Times New Roman" w:hAnsi="Times New Roman"/>
                <w:sz w:val="28"/>
                <w:szCs w:val="28"/>
              </w:rPr>
              <w:t>112</w:t>
            </w:r>
          </w:p>
        </w:tc>
      </w:tr>
    </w:tbl>
    <w:p w14:paraId="0F44886A" w14:textId="77777777" w:rsidR="006A72D1" w:rsidRPr="00315722" w:rsidRDefault="006A72D1" w:rsidP="006A72D1">
      <w:pPr>
        <w:spacing w:after="0" w:line="240" w:lineRule="auto"/>
        <w:ind w:firstLine="708"/>
        <w:jc w:val="both"/>
        <w:rPr>
          <w:rFonts w:ascii="Times New Roman" w:hAnsi="Times New Roman"/>
          <w:sz w:val="28"/>
          <w:szCs w:val="28"/>
        </w:rPr>
      </w:pPr>
    </w:p>
    <w:p w14:paraId="407C91F3" w14:textId="77777777" w:rsidR="00F023F6" w:rsidRPr="00F023F6" w:rsidRDefault="00F023F6" w:rsidP="00F023F6">
      <w:pPr>
        <w:spacing w:after="0" w:line="240" w:lineRule="auto"/>
        <w:ind w:firstLine="709"/>
        <w:jc w:val="both"/>
        <w:rPr>
          <w:rFonts w:ascii="Times New Roman" w:hAnsi="Times New Roman"/>
          <w:sz w:val="28"/>
          <w:szCs w:val="28"/>
        </w:rPr>
      </w:pPr>
      <w:r w:rsidRPr="00F023F6">
        <w:rPr>
          <w:rFonts w:ascii="Times New Roman" w:hAnsi="Times New Roman"/>
          <w:sz w:val="28"/>
          <w:szCs w:val="28"/>
        </w:rPr>
        <w:t>2024-2025 оқу жылында бұл жұмыс жалғасады, тек 2023 жылдың соңғы тоқсанында "энергетикалық аудит (Энергоаудит)", "Ұлттық мұрағат қорының сақталуын қамтамасыз ету", "жоғары және жоғары оқу орнынан кейінгі білім беру ұйымдарының педагогы" жаңа кәсіби стандарттары әзірленді, 2024 жылы сот-сараптама қызметі саласында жаңа ҚС әзірленді, " Актуарий", "Ветеринарлық қызмет", "театр және кино әртісі", "Бухгалтер".</w:t>
      </w:r>
    </w:p>
    <w:p w14:paraId="05F7E25C" w14:textId="77777777" w:rsidR="00F023F6" w:rsidRPr="00F023F6" w:rsidRDefault="00F023F6" w:rsidP="00F023F6">
      <w:pPr>
        <w:spacing w:after="0" w:line="240" w:lineRule="auto"/>
        <w:ind w:firstLine="709"/>
        <w:jc w:val="both"/>
        <w:rPr>
          <w:rFonts w:ascii="Times New Roman" w:hAnsi="Times New Roman"/>
          <w:sz w:val="28"/>
          <w:szCs w:val="28"/>
        </w:rPr>
      </w:pPr>
      <w:r w:rsidRPr="00F023F6">
        <w:rPr>
          <w:rFonts w:ascii="Times New Roman" w:hAnsi="Times New Roman"/>
          <w:sz w:val="28"/>
          <w:szCs w:val="28"/>
        </w:rPr>
        <w:t>"Жоғары және жоғары оқу орнынан кейінгі білім беру ұйымдарының педагогы" КС енгізілуіне байланысты магистратураның (ғылыми-</w:t>
      </w:r>
      <w:r w:rsidRPr="00F023F6">
        <w:rPr>
          <w:rFonts w:ascii="Times New Roman" w:hAnsi="Times New Roman"/>
          <w:sz w:val="28"/>
          <w:szCs w:val="28"/>
        </w:rPr>
        <w:lastRenderedPageBreak/>
        <w:t>педагогикалық бағыттағы) және докторантураның (PhD) білім беру бағдарламалары 100% жаңартылды.</w:t>
      </w:r>
    </w:p>
    <w:p w14:paraId="4264A93E" w14:textId="77777777" w:rsidR="00F023F6" w:rsidRDefault="00F023F6" w:rsidP="00F023F6">
      <w:pPr>
        <w:spacing w:after="0" w:line="240" w:lineRule="auto"/>
        <w:ind w:firstLine="709"/>
        <w:jc w:val="both"/>
        <w:rPr>
          <w:rFonts w:ascii="Times New Roman" w:hAnsi="Times New Roman"/>
          <w:sz w:val="28"/>
          <w:szCs w:val="28"/>
        </w:rPr>
      </w:pPr>
      <w:r w:rsidRPr="00F023F6">
        <w:rPr>
          <w:rFonts w:ascii="Times New Roman" w:hAnsi="Times New Roman"/>
          <w:sz w:val="28"/>
          <w:szCs w:val="28"/>
        </w:rPr>
        <w:t>Білім беру бағдарламаларының өзектілігі мен қажеттілігіне үнемі талдау жүргізіледі, 2023 жылы тізілімнен 8 білім беру бағдарламасы алынып тасталды, 2024 жылы 7 ББ алынып тасталды. Сондай-ақ бейінді магистратура ББ 7м02307 Қазақ филологиясы, 7м04111 Қаржы, 7М04109 Маркетинг, 7м07103 ТМО (машина жасау) өзектілігіне талдау жүргізу қажет</w:t>
      </w:r>
    </w:p>
    <w:p w14:paraId="6CD7BAE0" w14:textId="77777777" w:rsidR="00F023F6" w:rsidRPr="00F023F6" w:rsidRDefault="00F023F6" w:rsidP="00F023F6">
      <w:pPr>
        <w:spacing w:after="0"/>
        <w:ind w:firstLine="708"/>
        <w:jc w:val="both"/>
        <w:rPr>
          <w:rFonts w:ascii="Times New Roman" w:hAnsi="Times New Roman" w:cs="Times New Roman"/>
          <w:sz w:val="28"/>
          <w:szCs w:val="28"/>
        </w:rPr>
      </w:pPr>
      <w:bookmarkStart w:id="0" w:name="z55"/>
      <w:r w:rsidRPr="00F023F6">
        <w:rPr>
          <w:rFonts w:ascii="Times New Roman" w:hAnsi="Times New Roman" w:cs="Times New Roman"/>
          <w:sz w:val="28"/>
          <w:szCs w:val="28"/>
        </w:rPr>
        <w:t xml:space="preserve">ББ Тізілімге енгізілген не ББ-ға өзгерістер енгізілген кезде (50% - дан астам) 2-3 сарапшы МЖМБС, ҰБК, СБШ, КС ББ-ға сәйкестігін бағалайды, ББ мазмұнына жан-жақты талдау жүргізеді, ББ-ның қалыптастырылатын оқу нәтижелерімен байланысты әрбір пән бойынша оқыту нәтижелеріне қол жеткізу дәрежесі айқындалады, инновациялық ББ-лар қызметтің жаңа түрлеріне бағытталғандығына қосымша бағаланады, мамандыққа сұраныстың жоғары деңгейі, инновациялық экономиканы дамыту, ел мен өңір экономикасы салаларының басымдығы қағидаты. ББ бойынша оқу нәтижелеріне қол жеткізу коэффициенті (кемінде 75 %) кезінде білім беру бағдарламасы тізілімге енгізіледі. </w:t>
      </w:r>
    </w:p>
    <w:p w14:paraId="1C4EE5DF" w14:textId="77777777" w:rsidR="00F023F6" w:rsidRDefault="00F023F6" w:rsidP="00F023F6">
      <w:pPr>
        <w:spacing w:after="0"/>
        <w:ind w:firstLine="708"/>
        <w:jc w:val="both"/>
        <w:rPr>
          <w:rFonts w:ascii="Times New Roman" w:hAnsi="Times New Roman" w:cs="Times New Roman"/>
          <w:sz w:val="28"/>
          <w:szCs w:val="28"/>
        </w:rPr>
      </w:pPr>
      <w:r w:rsidRPr="00F023F6">
        <w:rPr>
          <w:rFonts w:ascii="Times New Roman" w:hAnsi="Times New Roman" w:cs="Times New Roman"/>
          <w:sz w:val="28"/>
          <w:szCs w:val="28"/>
        </w:rPr>
        <w:t>2024 жылы КРУ-дан 12 білім беру бағдарламаларының тізіліміне енгізілді, оның ішінде "педагогикалық білім беруді іске асыру және оның мазмұнын күшейту" жобасы шеңберінде әзірленген 6 инновациялық ББ (сарапшылардың бағалауынсыз). 6 бағдарлама бойынша РО қол жеткізу коэффициенттері 66,94% - дан 96,43% - ға дейін, орташа балл 84,23% құрайды. Агрономия ББ Тізілімге енгізілген</w:t>
      </w:r>
    </w:p>
    <w:bookmarkEnd w:id="0"/>
    <w:p w14:paraId="650BB1D2"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Бұдан басқа, "Атамекен" ҰКП рейтингінде ББ мазмұнын бағалау кезінде ББ жұмыс берушілердің талаптарына сәйкестігі, ББ пәндерінің өзектілігі, пәнді оқу реттілігі бағаланады. Осылайша, 2023 жылғы рейтинг қорытындысы бойынша рейтингке қатысушы университеттің ББ 83% - ы жұмыс берушілердің күтулеріне сәйкес келетіні, ББ-ның 17% - ы РБ-ны өзектендіруді немесе пәндердің мазмұнын қайта қарауды талап ететіні атап өтілді. ББ әзірлеу, сараптау және келісу кезінде бейінді қауымдастықтардың, Ұлттық компаниялар мен ірі кәсіпорындардың қызметкерлерін тарту қажет.</w:t>
      </w:r>
    </w:p>
    <w:p w14:paraId="2BFEC6E2" w14:textId="77777777" w:rsid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Әрбір білім беру бағдарламасы Еңбек нарығының заманауи талаптарына бейімделуі және студенттерді табысты жұмысқа орналасу үшін қажетті практикалық дағдылармен қамтамасыз етуі тиіс. ББ сұранысының маңызды көрсеткіштерінің бірі түлектердің жұмысқа орналасу пайызы болып табылады. Мәселен, үлгілік қағидалар мен КВТ-қа сәйкес Университет Жоғары білім беру ББ бойынша түлектерді кадрларды даярлау бағыты бөлінісінде түлектердің кемінде 50% - обеспечивает жұмысқа орналастыруды қамтамасыз етеді</w:t>
      </w:r>
    </w:p>
    <w:p w14:paraId="3CF1FAE5"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Сондай-ақ, "Атамекен" ҰКП рейтингінің "түлектердің мансаптық перспективасы"критерийінің негізгі көрсеткіші болып табылады. Жұмысқа орналастыруды сарапшылар жұмысқа орналасу деңгейі – 90,6% (рейтинг бойынша 82,8), тұрақты жұмысқа орналасу – 87,1% (рейтинг бойынша 76,8%), шартты жұмыспен қамту – 3,5% (рейтинг бойынша 6%), жұмысқа </w:t>
      </w:r>
      <w:r w:rsidRPr="00F023F6">
        <w:rPr>
          <w:rFonts w:ascii="Times New Roman" w:hAnsi="Times New Roman" w:cs="Times New Roman"/>
          <w:sz w:val="28"/>
          <w:szCs w:val="28"/>
        </w:rPr>
        <w:lastRenderedPageBreak/>
        <w:t xml:space="preserve">орналаспағандар деңгейі – 9,4 (рейтинг бойынша 17,2) көрсеткіштері бойынша бағалайды. 2021 жылдан бастап жұмысқа орналасу деңгейі 2023 жылы 85% - дан 91% - ға дейінгі оң динамиканы көрсетеді. </w:t>
      </w:r>
    </w:p>
    <w:p w14:paraId="2A330161"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Сондай-ақ, "түлектердің мансаптық перспективасы" критерийінің көрсеткіштері Жұмыс іздеу ұзақтығы және орташа жалақы болып табылады.</w:t>
      </w:r>
    </w:p>
    <w:p w14:paraId="2BBC9885" w14:textId="77777777" w:rsid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ББ сапасы мен тиімділігін бағалау ББ аккредиттеу және рейтинг рәсімдері арқылы жүргізіледі. АККРЕДИТТЕУ-бұл белгілі бір стандарттарға сәйкестігін растау мақсатында тәуелсіз ұйым жүргізетін қызметтердің сапасын бағалау процесі. 2024 жылы университет институционалдық аккредиттеуден және тәуелсіз агенттіктерде 73 ББ мамандандырылған аккредиттеуден сәтті өтті</w:t>
      </w:r>
    </w:p>
    <w:p w14:paraId="7AFFE1BA"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Халықаралық тану университетте білім беру бағдарламаларының тиімділігін арттыруда, оның дамуын, өсуін және әлемдік білім беру аренасында табысты бәсекелестікті ынталандыруда шешуші рөл атқарады. Интернационалдандыру критерийлері сонымен қатар университет ұсынатын білім сапасын растайды және академиялық беделдің жақсаруына ықпал етеді. Бұл талантты студенттерді тартуға мүмкіндік береді, бұл өз кезегінде университеттің оқу деңгейін жоғарылатады. Халықаралық тануға академиялық байланыстарды дамыту және инновациялық қос дипломды білім беру бағдарламаларын құру да ықпал етеді. Ұтқырлық студенттерге жаһандық ойлауға және халықаралық еңбек нарығында сәтті бәсекелесуге мүмкіндік береді.</w:t>
      </w:r>
    </w:p>
    <w:p w14:paraId="458396A1"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Интернационалдандыру көрсеткіштері бойынша сыртқы және ішкі академиялық ұтқырлық бағдарламалары бойынша дайындықтың әртүрлі бағыттарының ББ қамтуын кеңейту қажет.</w:t>
      </w:r>
    </w:p>
    <w:p w14:paraId="6340B4BB" w14:textId="77777777" w:rsid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"Астана қалаларында орналасқан ЖЖОКБҰ-да болуы" ТБЖ критерийін ескере отырып, білім алушылар контингентін қалыптастыру саясатын жетілдіру,</w:t>
      </w:r>
    </w:p>
    <w:p w14:paraId="2AE55EB3"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Білім беру бағдарламаларының тиімділігі мен білім алушылар мен стейкхолдерлердің қанағаттануы бір-бірімен тығыз байланысты. Тиімді білім беру бағдарламасы, әдетте, білім алушылар мен стейкхолдерлердің жоғары қанағаттануына әкеледі. </w:t>
      </w:r>
    </w:p>
    <w:p w14:paraId="3C6EBA24"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Стейкхолдерлердің қанағаттануын бағалау:</w:t>
      </w:r>
    </w:p>
    <w:p w14:paraId="7EE7CAFF"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 Білім беру бағдарламалары бөлімі әр академиялық кезеңнен кейін Платонус АЖ платформасында "оқытылатын пәндердің сапасына қанағаттану" сауалнамасын жүргізеді. Сауалнамаға ағымдағы семестрде теориялық оқуы бар барлық білім алушылар қатысады.</w:t>
      </w:r>
    </w:p>
    <w:p w14:paraId="1D638343"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 АА алдында жыл сайын бітіруші курс студенттерінің, магистранттар мен докторанттардың білім беру бағдарламалары бөлімімен білім беру бағдарламасының сапасы, оқыту ортасы және қолдау қызметтері туралы сауалнама жүргізіледі. </w:t>
      </w:r>
    </w:p>
    <w:p w14:paraId="0DAF671A"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 Мансап және жұмысқа орналастыру орталығы түлектерді даярлау сапасы туралы жұмыс берушілерге сауалнама жүргізеді (жылына бір рет).</w:t>
      </w:r>
    </w:p>
    <w:p w14:paraId="5C38A4CA" w14:textId="7E285F4A" w:rsidR="00A415C0"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 Кафедраның кәсіби практика жетекшілері практикадан өту нәтижелері бойынша "қанағаттану" сауалнамасын өткізеді</w:t>
      </w:r>
    </w:p>
    <w:p w14:paraId="264C338A" w14:textId="77777777" w:rsidR="00F023F6" w:rsidRDefault="00F023F6" w:rsidP="00B512B4">
      <w:pPr>
        <w:spacing w:after="0" w:line="240" w:lineRule="auto"/>
        <w:ind w:firstLine="709"/>
        <w:jc w:val="both"/>
        <w:rPr>
          <w:rFonts w:ascii="Times New Roman" w:eastAsia="Times New Roman" w:hAnsi="Times New Roman" w:cs="Times New Roman"/>
          <w:sz w:val="28"/>
          <w:szCs w:val="28"/>
          <w:lang w:eastAsia="ru-RU"/>
        </w:rPr>
      </w:pPr>
      <w:r w:rsidRPr="00F023F6">
        <w:rPr>
          <w:rFonts w:ascii="Times New Roman" w:eastAsia="Times New Roman" w:hAnsi="Times New Roman" w:cs="Times New Roman"/>
          <w:sz w:val="28"/>
          <w:szCs w:val="28"/>
          <w:lang w:eastAsia="ru-RU"/>
        </w:rPr>
        <w:lastRenderedPageBreak/>
        <w:t>КС сәйкес ПОҚ біліктілігіне қойылатын талаптар (ұйым стандарты) толығымен қайта қаралды. Профессор-оқытушылар құрамы лауазымдарының біліктілік сипаттамалары. 043-2024 жылдар аралығында басқарманың шешімімен бекітілген, 13.05.2024 жылғы № 6 хаттама). КС кәсіптерінің карточкаларына сәйкес біліктілік деңгейі негізінде ПОҚ-ны нақты жіктеу енгізілді. Ахмет Байтұрсынұлы атындағы ҚРУ-да ПОҚ-ның келесі лауазымдары енгізілді: кафедра меңгерушісі, профессор, профессор ассистенті, қауымдастырылған профессор (доцент), аға оқытушы, оқытушы, әскери кафедра бастығы, әскери кафедра бастығының орынбасары, әскери кафедра циклінің бастығы, әскери кафедраның аға оқытушысы, әскери кафедра оқытушысы, әскери кафедра ассистенті. Бұл құжатта оқытушылардың біліміне, ғылыми және академиялық дәрежесінің болуына, жұмыс тәжірибесіне, ғылыми жетістіктері мен педагогикалық құзыреттеріне қойылатын ең төменгі талаптар айқындалған. Сондай-ақ біліктілікті арттыру және сертификаттау жөніндегі міндеттер</w:t>
      </w:r>
    </w:p>
    <w:p w14:paraId="0DDCE849" w14:textId="77777777" w:rsidR="00F023F6" w:rsidRPr="00F023F6" w:rsidRDefault="00F023F6" w:rsidP="00F023F6">
      <w:pPr>
        <w:spacing w:after="0" w:line="240" w:lineRule="auto"/>
        <w:ind w:firstLine="708"/>
        <w:jc w:val="both"/>
        <w:rPr>
          <w:rFonts w:ascii="Times New Roman" w:eastAsia="Times New Roman" w:hAnsi="Times New Roman" w:cs="Times New Roman"/>
          <w:sz w:val="28"/>
          <w:szCs w:val="28"/>
          <w:lang w:eastAsia="ru-RU"/>
        </w:rPr>
      </w:pPr>
      <w:r w:rsidRPr="00F023F6">
        <w:rPr>
          <w:rFonts w:ascii="Times New Roman" w:eastAsia="Times New Roman" w:hAnsi="Times New Roman" w:cs="Times New Roman"/>
          <w:sz w:val="28"/>
          <w:szCs w:val="28"/>
          <w:lang w:eastAsia="ru-RU"/>
        </w:rPr>
        <w:t>2024 жылғы 1 қыркүйектен бастап ПОҚ-ның лауазымдық нұсқаулықтары қайта қаралды және қолданысқа енгізілді. Жаңартылған ДИ біліктілікті арттыру, ғылыми жобаларға қатысу және тәлімгерлік және т. б. мүмкіндіктерімен оқытушыдан профессорға дейін кәсіби өсуді ілгерілетудің нақты схемаларын жасауға мүмкіндік береді.</w:t>
      </w:r>
    </w:p>
    <w:p w14:paraId="79D2A7E7" w14:textId="77777777" w:rsidR="00F023F6" w:rsidRDefault="00F023F6" w:rsidP="00F023F6">
      <w:pPr>
        <w:spacing w:after="0" w:line="240" w:lineRule="auto"/>
        <w:ind w:firstLine="708"/>
        <w:jc w:val="both"/>
        <w:rPr>
          <w:rFonts w:ascii="Times New Roman" w:eastAsia="Times New Roman" w:hAnsi="Times New Roman" w:cs="Times New Roman"/>
          <w:sz w:val="28"/>
          <w:szCs w:val="28"/>
          <w:lang w:eastAsia="ru-RU"/>
        </w:rPr>
      </w:pPr>
      <w:r w:rsidRPr="00F023F6">
        <w:rPr>
          <w:rFonts w:ascii="Times New Roman" w:eastAsia="Times New Roman" w:hAnsi="Times New Roman" w:cs="Times New Roman"/>
          <w:sz w:val="28"/>
          <w:szCs w:val="28"/>
          <w:lang w:eastAsia="ru-RU"/>
        </w:rPr>
        <w:t>Университет сондай-ақ жоғары және (немесе) жоғары оқу орнынан кейінгі білім беру кадрларын даярлау бағытын ескере отырып, оқытушылардың сандық және сапалық құрамына қойылатын талаптардың сақталуын: барлық пәндердің оқытушылармен қамтамасыз етілуін; оқытылатын пәндер бейініне білім берудің, ғылыми/академиялық дәреженің және/немесе оқытушының ғылыми атағының сәйкестігін; негізгі жұмыс орны болып табылатын оқытушылар үлесінің сақталуын қамтамасыз етуге тиіс Жжокбұ; қоса атқаратын оқытушылар үлесінің сақталуы; оқытылатын пәндер бейіні бойынша талап етілетін практикалық жұмыс тәжірибесі (ғылыми–педагогикалық, клиникалық), ғылыми еңбектердің талап етілетін саны бар оқытушылармен қамтамасыз етілуі. Деректер қажет</w:t>
      </w:r>
    </w:p>
    <w:p w14:paraId="20600BE5"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Өткен оқу жылында "оқытушылардың білімінің және (немесе) олардың ғылыми дәрежесінің және (немесе) философия докторы PhD/ғылым және жоғары білім саласындағы уәкілетті орган берген/таныған бейіні және (немесе) ғылыми атағы бойынша докторы дәрежесінің (академиялық) дәрежесіне, оқытылатын пәндер бейініне сәйкестігін" және "қамтамасыз етуді" бағалау бойынша мониторинг жүргізілді негізгі жұмыс орны жжокбұ болып табылатын оқытушылардың 3 (үш) жылда кемінде 1 (бір) рет және оқу курсы үшін кемінде 72 (жетпіс екі) сағат көлемінде оқытылатын пәндер бейініне сәйкес біліктілігін арттырудан өтуі". Факультеттер, кафедралар және сапа бойынша кеңестер осындай мониторинг жүргізуі керек. ОП-ны жаңарту және жаңа ОП-ны қосу кезінде осы критерийлерді үнемі бақылауда ұстау қажет.</w:t>
      </w:r>
    </w:p>
    <w:p w14:paraId="723EAD22" w14:textId="77777777" w:rsid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 xml:space="preserve">2024 жылғы қаңтарда "магистрлік және докторлық диссертацияларды басқаруға қойылатын талаптардың сақталуына" мониторинг жүргізілді. </w:t>
      </w:r>
      <w:r w:rsidRPr="00F023F6">
        <w:rPr>
          <w:rFonts w:ascii="Times New Roman" w:hAnsi="Times New Roman" w:cs="Times New Roman"/>
          <w:sz w:val="28"/>
          <w:szCs w:val="28"/>
        </w:rPr>
        <w:lastRenderedPageBreak/>
        <w:t>Презентация слайдтарында осы мониторинг деректері көрсетілген. Осы мониторингтің нәтижелері</w:t>
      </w:r>
    </w:p>
    <w:p w14:paraId="6DF7204F" w14:textId="77777777" w:rsidR="00F023F6" w:rsidRPr="00F023F6" w:rsidRDefault="00F023F6" w:rsidP="00F023F6">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Білім беру бағдарламаларының тиімділігі мен рентабельділігінің үйлесімі жоғары сапалы жоғары білімді қамтамасыз етеді, ол еңбек нарығының талаптарына жауап беретін құзыретті мамандарды дайындайды және сонымен бірге студенттер үшін қол жетімді. ЖОО-ның білім беру бағдарламаларының рентабельділігі осы бағдарламалардан алынған шығындар мен кірістердің арақатынасымен анықталады. Бұл білім беру бағдарламаларын дамыту және қаржыландыру туралы шешім қабылдаудың маңызды факторы болып табылады. ББ рентабельділігін есептеу кезінде білім беру қызметтерінен түскен табыс (ақылы оқу құны және Грант құны), студенттер контингенті және ПОҚ жалақысына жұмсалған шығындар ескерілді. Сіздердің назарларыңызға ДО, ВИХТ, М-И, г-Б, Туризм, АДиМД (1 студент), Маркетинг, ССП, МП ББ-да екі тілде білім алушылар контингенті жоқ, бұл ББ-ны ұстауға шығындарды да арттырады, өйткені КВТ оқулықтарға сәйкес КББ кітапханада ұсынылуы тиіс ББ барлық пәндері бойынша екі тілде оқыту.</w:t>
      </w:r>
    </w:p>
    <w:p w14:paraId="1E5C1E37" w14:textId="4EFFE28C" w:rsidR="00F023F6" w:rsidRDefault="00F023F6" w:rsidP="00F023F6">
      <w:pPr>
        <w:spacing w:after="0" w:line="240" w:lineRule="auto"/>
        <w:ind w:firstLine="708"/>
        <w:jc w:val="both"/>
        <w:rPr>
          <w:rFonts w:ascii="Times New Roman" w:hAnsi="Times New Roman" w:cs="Times New Roman"/>
          <w:sz w:val="28"/>
          <w:szCs w:val="28"/>
        </w:rPr>
      </w:pPr>
    </w:p>
    <w:p w14:paraId="49A2E209" w14:textId="77777777" w:rsidR="00F023F6" w:rsidRPr="00315722" w:rsidRDefault="00F023F6" w:rsidP="00F023F6">
      <w:pPr>
        <w:spacing w:after="0" w:line="240" w:lineRule="auto"/>
        <w:ind w:firstLine="708"/>
        <w:jc w:val="both"/>
        <w:rPr>
          <w:rFonts w:ascii="Times New Roman" w:hAnsi="Times New Roman" w:cs="Times New Roman"/>
          <w:sz w:val="28"/>
          <w:szCs w:val="28"/>
        </w:rPr>
      </w:pPr>
    </w:p>
    <w:p w14:paraId="233C13AE" w14:textId="0E0E40F8" w:rsidR="00D636DA" w:rsidRPr="00315722" w:rsidRDefault="00F023F6" w:rsidP="00731FB8">
      <w:pPr>
        <w:spacing w:after="0" w:line="240" w:lineRule="auto"/>
        <w:ind w:firstLine="708"/>
        <w:jc w:val="both"/>
        <w:rPr>
          <w:rFonts w:ascii="Times New Roman" w:hAnsi="Times New Roman" w:cs="Times New Roman"/>
          <w:sz w:val="28"/>
          <w:szCs w:val="28"/>
        </w:rPr>
      </w:pPr>
      <w:r w:rsidRPr="00F023F6">
        <w:rPr>
          <w:rFonts w:ascii="Times New Roman" w:hAnsi="Times New Roman" w:cs="Times New Roman"/>
          <w:sz w:val="28"/>
          <w:szCs w:val="28"/>
        </w:rPr>
        <w:t>Білім беру бағдарламалары бөлімінің бастығы</w:t>
      </w:r>
      <w:bookmarkStart w:id="1" w:name="_GoBack"/>
      <w:bookmarkEnd w:id="1"/>
      <w:r w:rsidR="00D636DA" w:rsidRPr="00315722">
        <w:rPr>
          <w:rFonts w:ascii="Times New Roman" w:hAnsi="Times New Roman" w:cs="Times New Roman"/>
          <w:sz w:val="28"/>
          <w:szCs w:val="28"/>
        </w:rPr>
        <w:tab/>
      </w:r>
      <w:r w:rsidR="00D636DA" w:rsidRPr="00315722">
        <w:rPr>
          <w:rFonts w:ascii="Times New Roman" w:hAnsi="Times New Roman" w:cs="Times New Roman"/>
          <w:sz w:val="28"/>
          <w:szCs w:val="28"/>
        </w:rPr>
        <w:tab/>
        <w:t>Г.Исмаилова</w:t>
      </w:r>
    </w:p>
    <w:sectPr w:rsidR="00D636DA" w:rsidRPr="00315722" w:rsidSect="00F200B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A2D"/>
    <w:multiLevelType w:val="multilevel"/>
    <w:tmpl w:val="1F22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5E98"/>
    <w:multiLevelType w:val="multilevel"/>
    <w:tmpl w:val="6854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4762A"/>
    <w:multiLevelType w:val="hybridMultilevel"/>
    <w:tmpl w:val="D74ABDE0"/>
    <w:lvl w:ilvl="0" w:tplc="DC7E7DE8">
      <w:start w:val="1"/>
      <w:numFmt w:val="bullet"/>
      <w:lvlText w:val=""/>
      <w:lvlJc w:val="left"/>
      <w:pPr>
        <w:tabs>
          <w:tab w:val="num" w:pos="720"/>
        </w:tabs>
        <w:ind w:left="720" w:hanging="360"/>
      </w:pPr>
      <w:rPr>
        <w:rFonts w:ascii="Wingdings" w:hAnsi="Wingdings" w:hint="default"/>
      </w:rPr>
    </w:lvl>
    <w:lvl w:ilvl="1" w:tplc="9D683F3C" w:tentative="1">
      <w:start w:val="1"/>
      <w:numFmt w:val="bullet"/>
      <w:lvlText w:val=""/>
      <w:lvlJc w:val="left"/>
      <w:pPr>
        <w:tabs>
          <w:tab w:val="num" w:pos="1440"/>
        </w:tabs>
        <w:ind w:left="1440" w:hanging="360"/>
      </w:pPr>
      <w:rPr>
        <w:rFonts w:ascii="Wingdings" w:hAnsi="Wingdings" w:hint="default"/>
      </w:rPr>
    </w:lvl>
    <w:lvl w:ilvl="2" w:tplc="2A520150" w:tentative="1">
      <w:start w:val="1"/>
      <w:numFmt w:val="bullet"/>
      <w:lvlText w:val=""/>
      <w:lvlJc w:val="left"/>
      <w:pPr>
        <w:tabs>
          <w:tab w:val="num" w:pos="2160"/>
        </w:tabs>
        <w:ind w:left="2160" w:hanging="360"/>
      </w:pPr>
      <w:rPr>
        <w:rFonts w:ascii="Wingdings" w:hAnsi="Wingdings" w:hint="default"/>
      </w:rPr>
    </w:lvl>
    <w:lvl w:ilvl="3" w:tplc="98BCF3C4" w:tentative="1">
      <w:start w:val="1"/>
      <w:numFmt w:val="bullet"/>
      <w:lvlText w:val=""/>
      <w:lvlJc w:val="left"/>
      <w:pPr>
        <w:tabs>
          <w:tab w:val="num" w:pos="2880"/>
        </w:tabs>
        <w:ind w:left="2880" w:hanging="360"/>
      </w:pPr>
      <w:rPr>
        <w:rFonts w:ascii="Wingdings" w:hAnsi="Wingdings" w:hint="default"/>
      </w:rPr>
    </w:lvl>
    <w:lvl w:ilvl="4" w:tplc="5D9CBCDA" w:tentative="1">
      <w:start w:val="1"/>
      <w:numFmt w:val="bullet"/>
      <w:lvlText w:val=""/>
      <w:lvlJc w:val="left"/>
      <w:pPr>
        <w:tabs>
          <w:tab w:val="num" w:pos="3600"/>
        </w:tabs>
        <w:ind w:left="3600" w:hanging="360"/>
      </w:pPr>
      <w:rPr>
        <w:rFonts w:ascii="Wingdings" w:hAnsi="Wingdings" w:hint="default"/>
      </w:rPr>
    </w:lvl>
    <w:lvl w:ilvl="5" w:tplc="AF68B93A" w:tentative="1">
      <w:start w:val="1"/>
      <w:numFmt w:val="bullet"/>
      <w:lvlText w:val=""/>
      <w:lvlJc w:val="left"/>
      <w:pPr>
        <w:tabs>
          <w:tab w:val="num" w:pos="4320"/>
        </w:tabs>
        <w:ind w:left="4320" w:hanging="360"/>
      </w:pPr>
      <w:rPr>
        <w:rFonts w:ascii="Wingdings" w:hAnsi="Wingdings" w:hint="default"/>
      </w:rPr>
    </w:lvl>
    <w:lvl w:ilvl="6" w:tplc="8DAA5440" w:tentative="1">
      <w:start w:val="1"/>
      <w:numFmt w:val="bullet"/>
      <w:lvlText w:val=""/>
      <w:lvlJc w:val="left"/>
      <w:pPr>
        <w:tabs>
          <w:tab w:val="num" w:pos="5040"/>
        </w:tabs>
        <w:ind w:left="5040" w:hanging="360"/>
      </w:pPr>
      <w:rPr>
        <w:rFonts w:ascii="Wingdings" w:hAnsi="Wingdings" w:hint="default"/>
      </w:rPr>
    </w:lvl>
    <w:lvl w:ilvl="7" w:tplc="A0FC563C" w:tentative="1">
      <w:start w:val="1"/>
      <w:numFmt w:val="bullet"/>
      <w:lvlText w:val=""/>
      <w:lvlJc w:val="left"/>
      <w:pPr>
        <w:tabs>
          <w:tab w:val="num" w:pos="5760"/>
        </w:tabs>
        <w:ind w:left="5760" w:hanging="360"/>
      </w:pPr>
      <w:rPr>
        <w:rFonts w:ascii="Wingdings" w:hAnsi="Wingdings" w:hint="default"/>
      </w:rPr>
    </w:lvl>
    <w:lvl w:ilvl="8" w:tplc="D5FA82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C7AF0"/>
    <w:multiLevelType w:val="multilevel"/>
    <w:tmpl w:val="59A8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34D0C"/>
    <w:multiLevelType w:val="multilevel"/>
    <w:tmpl w:val="33EC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67276"/>
    <w:multiLevelType w:val="multilevel"/>
    <w:tmpl w:val="BE4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8509D"/>
    <w:multiLevelType w:val="multilevel"/>
    <w:tmpl w:val="B6C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90272"/>
    <w:multiLevelType w:val="hybridMultilevel"/>
    <w:tmpl w:val="63CCF4C2"/>
    <w:lvl w:ilvl="0" w:tplc="0419000F">
      <w:start w:val="1"/>
      <w:numFmt w:val="decimal"/>
      <w:lvlText w:val="%1."/>
      <w:lvlJc w:val="left"/>
      <w:pPr>
        <w:ind w:left="1353" w:hanging="360"/>
      </w:pPr>
    </w:lvl>
    <w:lvl w:ilvl="1" w:tplc="71B2215A">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7F72055"/>
    <w:multiLevelType w:val="hybridMultilevel"/>
    <w:tmpl w:val="47AE4350"/>
    <w:lvl w:ilvl="0" w:tplc="C504A984">
      <w:start w:val="1"/>
      <w:numFmt w:val="bullet"/>
      <w:lvlText w:val=""/>
      <w:lvlJc w:val="left"/>
      <w:pPr>
        <w:tabs>
          <w:tab w:val="num" w:pos="720"/>
        </w:tabs>
        <w:ind w:left="720" w:hanging="360"/>
      </w:pPr>
      <w:rPr>
        <w:rFonts w:ascii="Wingdings" w:hAnsi="Wingdings" w:hint="default"/>
      </w:rPr>
    </w:lvl>
    <w:lvl w:ilvl="1" w:tplc="A9EC4196" w:tentative="1">
      <w:start w:val="1"/>
      <w:numFmt w:val="bullet"/>
      <w:lvlText w:val=""/>
      <w:lvlJc w:val="left"/>
      <w:pPr>
        <w:tabs>
          <w:tab w:val="num" w:pos="1440"/>
        </w:tabs>
        <w:ind w:left="1440" w:hanging="360"/>
      </w:pPr>
      <w:rPr>
        <w:rFonts w:ascii="Wingdings" w:hAnsi="Wingdings" w:hint="default"/>
      </w:rPr>
    </w:lvl>
    <w:lvl w:ilvl="2" w:tplc="A1CEDEA6" w:tentative="1">
      <w:start w:val="1"/>
      <w:numFmt w:val="bullet"/>
      <w:lvlText w:val=""/>
      <w:lvlJc w:val="left"/>
      <w:pPr>
        <w:tabs>
          <w:tab w:val="num" w:pos="2160"/>
        </w:tabs>
        <w:ind w:left="2160" w:hanging="360"/>
      </w:pPr>
      <w:rPr>
        <w:rFonts w:ascii="Wingdings" w:hAnsi="Wingdings" w:hint="default"/>
      </w:rPr>
    </w:lvl>
    <w:lvl w:ilvl="3" w:tplc="4352FF88" w:tentative="1">
      <w:start w:val="1"/>
      <w:numFmt w:val="bullet"/>
      <w:lvlText w:val=""/>
      <w:lvlJc w:val="left"/>
      <w:pPr>
        <w:tabs>
          <w:tab w:val="num" w:pos="2880"/>
        </w:tabs>
        <w:ind w:left="2880" w:hanging="360"/>
      </w:pPr>
      <w:rPr>
        <w:rFonts w:ascii="Wingdings" w:hAnsi="Wingdings" w:hint="default"/>
      </w:rPr>
    </w:lvl>
    <w:lvl w:ilvl="4" w:tplc="B6184944" w:tentative="1">
      <w:start w:val="1"/>
      <w:numFmt w:val="bullet"/>
      <w:lvlText w:val=""/>
      <w:lvlJc w:val="left"/>
      <w:pPr>
        <w:tabs>
          <w:tab w:val="num" w:pos="3600"/>
        </w:tabs>
        <w:ind w:left="3600" w:hanging="360"/>
      </w:pPr>
      <w:rPr>
        <w:rFonts w:ascii="Wingdings" w:hAnsi="Wingdings" w:hint="default"/>
      </w:rPr>
    </w:lvl>
    <w:lvl w:ilvl="5" w:tplc="1CD2F1FC" w:tentative="1">
      <w:start w:val="1"/>
      <w:numFmt w:val="bullet"/>
      <w:lvlText w:val=""/>
      <w:lvlJc w:val="left"/>
      <w:pPr>
        <w:tabs>
          <w:tab w:val="num" w:pos="4320"/>
        </w:tabs>
        <w:ind w:left="4320" w:hanging="360"/>
      </w:pPr>
      <w:rPr>
        <w:rFonts w:ascii="Wingdings" w:hAnsi="Wingdings" w:hint="default"/>
      </w:rPr>
    </w:lvl>
    <w:lvl w:ilvl="6" w:tplc="EB547F66" w:tentative="1">
      <w:start w:val="1"/>
      <w:numFmt w:val="bullet"/>
      <w:lvlText w:val=""/>
      <w:lvlJc w:val="left"/>
      <w:pPr>
        <w:tabs>
          <w:tab w:val="num" w:pos="5040"/>
        </w:tabs>
        <w:ind w:left="5040" w:hanging="360"/>
      </w:pPr>
      <w:rPr>
        <w:rFonts w:ascii="Wingdings" w:hAnsi="Wingdings" w:hint="default"/>
      </w:rPr>
    </w:lvl>
    <w:lvl w:ilvl="7" w:tplc="D7F6BAC6" w:tentative="1">
      <w:start w:val="1"/>
      <w:numFmt w:val="bullet"/>
      <w:lvlText w:val=""/>
      <w:lvlJc w:val="left"/>
      <w:pPr>
        <w:tabs>
          <w:tab w:val="num" w:pos="5760"/>
        </w:tabs>
        <w:ind w:left="5760" w:hanging="360"/>
      </w:pPr>
      <w:rPr>
        <w:rFonts w:ascii="Wingdings" w:hAnsi="Wingdings" w:hint="default"/>
      </w:rPr>
    </w:lvl>
    <w:lvl w:ilvl="8" w:tplc="C2CECD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F6B86"/>
    <w:multiLevelType w:val="multilevel"/>
    <w:tmpl w:val="81AA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12815"/>
    <w:multiLevelType w:val="multilevel"/>
    <w:tmpl w:val="EFE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42DE0"/>
    <w:multiLevelType w:val="hybridMultilevel"/>
    <w:tmpl w:val="679EAED6"/>
    <w:lvl w:ilvl="0" w:tplc="2000000D">
      <w:start w:val="1"/>
      <w:numFmt w:val="bullet"/>
      <w:lvlText w:val=""/>
      <w:lvlJc w:val="left"/>
      <w:pPr>
        <w:ind w:left="1353" w:hanging="360"/>
      </w:pPr>
      <w:rPr>
        <w:rFonts w:ascii="Wingdings" w:hAnsi="Wingdings" w:hint="default"/>
      </w:rPr>
    </w:lvl>
    <w:lvl w:ilvl="1" w:tplc="71B2215A">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0C8122E"/>
    <w:multiLevelType w:val="multilevel"/>
    <w:tmpl w:val="38A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827DA"/>
    <w:multiLevelType w:val="multilevel"/>
    <w:tmpl w:val="FE6C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D09F6"/>
    <w:multiLevelType w:val="multilevel"/>
    <w:tmpl w:val="A90A6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9"/>
  </w:num>
  <w:num w:numId="5">
    <w:abstractNumId w:val="5"/>
  </w:num>
  <w:num w:numId="6">
    <w:abstractNumId w:val="10"/>
  </w:num>
  <w:num w:numId="7">
    <w:abstractNumId w:val="14"/>
  </w:num>
  <w:num w:numId="8">
    <w:abstractNumId w:val="12"/>
  </w:num>
  <w:num w:numId="9">
    <w:abstractNumId w:val="13"/>
  </w:num>
  <w:num w:numId="10">
    <w:abstractNumId w:val="0"/>
  </w:num>
  <w:num w:numId="11">
    <w:abstractNumId w:val="7"/>
  </w:num>
  <w:num w:numId="12">
    <w:abstractNumId w:val="11"/>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F"/>
    <w:rsid w:val="00051361"/>
    <w:rsid w:val="00055AB8"/>
    <w:rsid w:val="00060551"/>
    <w:rsid w:val="0008673C"/>
    <w:rsid w:val="000C3C6F"/>
    <w:rsid w:val="000E095B"/>
    <w:rsid w:val="001132B6"/>
    <w:rsid w:val="00117A7C"/>
    <w:rsid w:val="001455FF"/>
    <w:rsid w:val="001721EB"/>
    <w:rsid w:val="001D6F7F"/>
    <w:rsid w:val="002031F5"/>
    <w:rsid w:val="002D04DB"/>
    <w:rsid w:val="002E2229"/>
    <w:rsid w:val="002E7CF5"/>
    <w:rsid w:val="00306F99"/>
    <w:rsid w:val="00313E9B"/>
    <w:rsid w:val="00315722"/>
    <w:rsid w:val="003355A2"/>
    <w:rsid w:val="00336880"/>
    <w:rsid w:val="00375F12"/>
    <w:rsid w:val="003A6B09"/>
    <w:rsid w:val="003E5CEC"/>
    <w:rsid w:val="003F471E"/>
    <w:rsid w:val="00413236"/>
    <w:rsid w:val="004800AC"/>
    <w:rsid w:val="004E1AB7"/>
    <w:rsid w:val="004F2EFC"/>
    <w:rsid w:val="00500EBB"/>
    <w:rsid w:val="00507A5E"/>
    <w:rsid w:val="00524CBD"/>
    <w:rsid w:val="0053025C"/>
    <w:rsid w:val="005469DA"/>
    <w:rsid w:val="005D1640"/>
    <w:rsid w:val="006162F1"/>
    <w:rsid w:val="00642668"/>
    <w:rsid w:val="00642962"/>
    <w:rsid w:val="006456D3"/>
    <w:rsid w:val="00645EFB"/>
    <w:rsid w:val="006540E9"/>
    <w:rsid w:val="006554B3"/>
    <w:rsid w:val="00677DEE"/>
    <w:rsid w:val="006A72D1"/>
    <w:rsid w:val="006C4176"/>
    <w:rsid w:val="006C560B"/>
    <w:rsid w:val="007169B9"/>
    <w:rsid w:val="00731FB8"/>
    <w:rsid w:val="00732298"/>
    <w:rsid w:val="007857E9"/>
    <w:rsid w:val="007A3922"/>
    <w:rsid w:val="007C3735"/>
    <w:rsid w:val="007C4AF0"/>
    <w:rsid w:val="008518E0"/>
    <w:rsid w:val="00884DE8"/>
    <w:rsid w:val="00894541"/>
    <w:rsid w:val="00895E69"/>
    <w:rsid w:val="008D09E7"/>
    <w:rsid w:val="00906A20"/>
    <w:rsid w:val="00927308"/>
    <w:rsid w:val="00947702"/>
    <w:rsid w:val="009A7EA8"/>
    <w:rsid w:val="009D1906"/>
    <w:rsid w:val="00A22E98"/>
    <w:rsid w:val="00A260C3"/>
    <w:rsid w:val="00A378A4"/>
    <w:rsid w:val="00A415C0"/>
    <w:rsid w:val="00A84024"/>
    <w:rsid w:val="00AB7E12"/>
    <w:rsid w:val="00AC1E47"/>
    <w:rsid w:val="00AC56AE"/>
    <w:rsid w:val="00B2495D"/>
    <w:rsid w:val="00B2544B"/>
    <w:rsid w:val="00B46218"/>
    <w:rsid w:val="00B47378"/>
    <w:rsid w:val="00B512B4"/>
    <w:rsid w:val="00B64F2E"/>
    <w:rsid w:val="00B72A2C"/>
    <w:rsid w:val="00B90BB7"/>
    <w:rsid w:val="00BE020D"/>
    <w:rsid w:val="00C03BF0"/>
    <w:rsid w:val="00C224CD"/>
    <w:rsid w:val="00C4612D"/>
    <w:rsid w:val="00C542E1"/>
    <w:rsid w:val="00C913F3"/>
    <w:rsid w:val="00CC1DFF"/>
    <w:rsid w:val="00CF24CD"/>
    <w:rsid w:val="00D016D6"/>
    <w:rsid w:val="00D04C25"/>
    <w:rsid w:val="00D10774"/>
    <w:rsid w:val="00D17E45"/>
    <w:rsid w:val="00D636DA"/>
    <w:rsid w:val="00DA4274"/>
    <w:rsid w:val="00DB6FC9"/>
    <w:rsid w:val="00E1650D"/>
    <w:rsid w:val="00E23D7D"/>
    <w:rsid w:val="00E473BE"/>
    <w:rsid w:val="00E57025"/>
    <w:rsid w:val="00EA1B04"/>
    <w:rsid w:val="00EA45FD"/>
    <w:rsid w:val="00EF4D23"/>
    <w:rsid w:val="00F023F6"/>
    <w:rsid w:val="00F200BD"/>
    <w:rsid w:val="00F776BF"/>
    <w:rsid w:val="00F96CDF"/>
    <w:rsid w:val="00FB1F77"/>
    <w:rsid w:val="00FD4A37"/>
    <w:rsid w:val="00FE4221"/>
    <w:rsid w:val="00FE5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9A53"/>
  <w15:docId w15:val="{87750386-F14C-4E78-8F91-4EE58B31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F7F"/>
  </w:style>
  <w:style w:type="paragraph" w:styleId="1">
    <w:name w:val="heading 1"/>
    <w:basedOn w:val="a"/>
    <w:next w:val="a"/>
    <w:link w:val="10"/>
    <w:uiPriority w:val="9"/>
    <w:qFormat/>
    <w:rsid w:val="003F47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0"/>
    <w:uiPriority w:val="9"/>
    <w:qFormat/>
    <w:rsid w:val="009477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F96C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96CDF"/>
    <w:rPr>
      <w:b/>
      <w:bCs/>
    </w:rPr>
  </w:style>
  <w:style w:type="table" w:styleId="a6">
    <w:name w:val="Table Grid"/>
    <w:basedOn w:val="a1"/>
    <w:uiPriority w:val="59"/>
    <w:rsid w:val="00AC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47702"/>
    <w:rPr>
      <w:rFonts w:ascii="Times New Roman" w:eastAsia="Times New Roman" w:hAnsi="Times New Roman" w:cs="Times New Roman"/>
      <w:b/>
      <w:bCs/>
      <w:sz w:val="27"/>
      <w:szCs w:val="27"/>
    </w:rPr>
  </w:style>
  <w:style w:type="paragraph" w:styleId="a7">
    <w:name w:val="List Paragraph"/>
    <w:basedOn w:val="a"/>
    <w:uiPriority w:val="34"/>
    <w:qFormat/>
    <w:rsid w:val="00306F99"/>
    <w:pPr>
      <w:spacing w:after="0" w:line="240" w:lineRule="auto"/>
      <w:ind w:left="720"/>
      <w:contextualSpacing/>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540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40E9"/>
    <w:rPr>
      <w:rFonts w:ascii="Tahoma" w:hAnsi="Tahoma" w:cs="Tahoma"/>
      <w:sz w:val="16"/>
      <w:szCs w:val="16"/>
    </w:rPr>
  </w:style>
  <w:style w:type="paragraph" w:customStyle="1" w:styleId="whitespace-pre-wrap">
    <w:name w:val="whitespace-pre-wrap"/>
    <w:basedOn w:val="a"/>
    <w:rsid w:val="00FB1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rsid w:val="006162F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uiPriority w:val="99"/>
    <w:rsid w:val="006162F1"/>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F471E"/>
    <w:rPr>
      <w:rFonts w:asciiTheme="majorHAnsi" w:eastAsiaTheme="majorEastAsia" w:hAnsiTheme="majorHAnsi" w:cstheme="majorBidi"/>
      <w:b/>
      <w:bCs/>
      <w:color w:val="2F5496" w:themeColor="accent1" w:themeShade="BF"/>
      <w:sz w:val="28"/>
      <w:szCs w:val="28"/>
    </w:rPr>
  </w:style>
  <w:style w:type="character" w:customStyle="1" w:styleId="ezkurwreuab5ozgtqnkl">
    <w:name w:val="ezkurwreuab5ozgtqnkl"/>
    <w:basedOn w:val="a0"/>
    <w:rsid w:val="006456D3"/>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6A72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1255">
      <w:bodyDiv w:val="1"/>
      <w:marLeft w:val="0"/>
      <w:marRight w:val="0"/>
      <w:marTop w:val="0"/>
      <w:marBottom w:val="0"/>
      <w:divBdr>
        <w:top w:val="none" w:sz="0" w:space="0" w:color="auto"/>
        <w:left w:val="none" w:sz="0" w:space="0" w:color="auto"/>
        <w:bottom w:val="none" w:sz="0" w:space="0" w:color="auto"/>
        <w:right w:val="none" w:sz="0" w:space="0" w:color="auto"/>
      </w:divBdr>
    </w:div>
    <w:div w:id="278531242">
      <w:bodyDiv w:val="1"/>
      <w:marLeft w:val="0"/>
      <w:marRight w:val="0"/>
      <w:marTop w:val="0"/>
      <w:marBottom w:val="0"/>
      <w:divBdr>
        <w:top w:val="none" w:sz="0" w:space="0" w:color="auto"/>
        <w:left w:val="none" w:sz="0" w:space="0" w:color="auto"/>
        <w:bottom w:val="none" w:sz="0" w:space="0" w:color="auto"/>
        <w:right w:val="none" w:sz="0" w:space="0" w:color="auto"/>
      </w:divBdr>
      <w:divsChild>
        <w:div w:id="1341853638">
          <w:marLeft w:val="547"/>
          <w:marRight w:val="0"/>
          <w:marTop w:val="0"/>
          <w:marBottom w:val="0"/>
          <w:divBdr>
            <w:top w:val="none" w:sz="0" w:space="0" w:color="auto"/>
            <w:left w:val="none" w:sz="0" w:space="0" w:color="auto"/>
            <w:bottom w:val="none" w:sz="0" w:space="0" w:color="auto"/>
            <w:right w:val="none" w:sz="0" w:space="0" w:color="auto"/>
          </w:divBdr>
        </w:div>
        <w:div w:id="1430273147">
          <w:marLeft w:val="547"/>
          <w:marRight w:val="0"/>
          <w:marTop w:val="0"/>
          <w:marBottom w:val="0"/>
          <w:divBdr>
            <w:top w:val="none" w:sz="0" w:space="0" w:color="auto"/>
            <w:left w:val="none" w:sz="0" w:space="0" w:color="auto"/>
            <w:bottom w:val="none" w:sz="0" w:space="0" w:color="auto"/>
            <w:right w:val="none" w:sz="0" w:space="0" w:color="auto"/>
          </w:divBdr>
        </w:div>
        <w:div w:id="366412063">
          <w:marLeft w:val="547"/>
          <w:marRight w:val="0"/>
          <w:marTop w:val="0"/>
          <w:marBottom w:val="0"/>
          <w:divBdr>
            <w:top w:val="none" w:sz="0" w:space="0" w:color="auto"/>
            <w:left w:val="none" w:sz="0" w:space="0" w:color="auto"/>
            <w:bottom w:val="none" w:sz="0" w:space="0" w:color="auto"/>
            <w:right w:val="none" w:sz="0" w:space="0" w:color="auto"/>
          </w:divBdr>
        </w:div>
      </w:divsChild>
    </w:div>
    <w:div w:id="314457285">
      <w:bodyDiv w:val="1"/>
      <w:marLeft w:val="0"/>
      <w:marRight w:val="0"/>
      <w:marTop w:val="0"/>
      <w:marBottom w:val="0"/>
      <w:divBdr>
        <w:top w:val="none" w:sz="0" w:space="0" w:color="auto"/>
        <w:left w:val="none" w:sz="0" w:space="0" w:color="auto"/>
        <w:bottom w:val="none" w:sz="0" w:space="0" w:color="auto"/>
        <w:right w:val="none" w:sz="0" w:space="0" w:color="auto"/>
      </w:divBdr>
    </w:div>
    <w:div w:id="316736447">
      <w:bodyDiv w:val="1"/>
      <w:marLeft w:val="0"/>
      <w:marRight w:val="0"/>
      <w:marTop w:val="0"/>
      <w:marBottom w:val="0"/>
      <w:divBdr>
        <w:top w:val="none" w:sz="0" w:space="0" w:color="auto"/>
        <w:left w:val="none" w:sz="0" w:space="0" w:color="auto"/>
        <w:bottom w:val="none" w:sz="0" w:space="0" w:color="auto"/>
        <w:right w:val="none" w:sz="0" w:space="0" w:color="auto"/>
      </w:divBdr>
    </w:div>
    <w:div w:id="427896330">
      <w:bodyDiv w:val="1"/>
      <w:marLeft w:val="0"/>
      <w:marRight w:val="0"/>
      <w:marTop w:val="0"/>
      <w:marBottom w:val="0"/>
      <w:divBdr>
        <w:top w:val="none" w:sz="0" w:space="0" w:color="auto"/>
        <w:left w:val="none" w:sz="0" w:space="0" w:color="auto"/>
        <w:bottom w:val="none" w:sz="0" w:space="0" w:color="auto"/>
        <w:right w:val="none" w:sz="0" w:space="0" w:color="auto"/>
      </w:divBdr>
    </w:div>
    <w:div w:id="477306798">
      <w:bodyDiv w:val="1"/>
      <w:marLeft w:val="0"/>
      <w:marRight w:val="0"/>
      <w:marTop w:val="0"/>
      <w:marBottom w:val="0"/>
      <w:divBdr>
        <w:top w:val="none" w:sz="0" w:space="0" w:color="auto"/>
        <w:left w:val="none" w:sz="0" w:space="0" w:color="auto"/>
        <w:bottom w:val="none" w:sz="0" w:space="0" w:color="auto"/>
        <w:right w:val="none" w:sz="0" w:space="0" w:color="auto"/>
      </w:divBdr>
    </w:div>
    <w:div w:id="497384046">
      <w:bodyDiv w:val="1"/>
      <w:marLeft w:val="0"/>
      <w:marRight w:val="0"/>
      <w:marTop w:val="0"/>
      <w:marBottom w:val="0"/>
      <w:divBdr>
        <w:top w:val="none" w:sz="0" w:space="0" w:color="auto"/>
        <w:left w:val="none" w:sz="0" w:space="0" w:color="auto"/>
        <w:bottom w:val="none" w:sz="0" w:space="0" w:color="auto"/>
        <w:right w:val="none" w:sz="0" w:space="0" w:color="auto"/>
      </w:divBdr>
    </w:div>
    <w:div w:id="637489577">
      <w:bodyDiv w:val="1"/>
      <w:marLeft w:val="0"/>
      <w:marRight w:val="0"/>
      <w:marTop w:val="0"/>
      <w:marBottom w:val="0"/>
      <w:divBdr>
        <w:top w:val="none" w:sz="0" w:space="0" w:color="auto"/>
        <w:left w:val="none" w:sz="0" w:space="0" w:color="auto"/>
        <w:bottom w:val="none" w:sz="0" w:space="0" w:color="auto"/>
        <w:right w:val="none" w:sz="0" w:space="0" w:color="auto"/>
      </w:divBdr>
    </w:div>
    <w:div w:id="661356334">
      <w:bodyDiv w:val="1"/>
      <w:marLeft w:val="0"/>
      <w:marRight w:val="0"/>
      <w:marTop w:val="0"/>
      <w:marBottom w:val="0"/>
      <w:divBdr>
        <w:top w:val="none" w:sz="0" w:space="0" w:color="auto"/>
        <w:left w:val="none" w:sz="0" w:space="0" w:color="auto"/>
        <w:bottom w:val="none" w:sz="0" w:space="0" w:color="auto"/>
        <w:right w:val="none" w:sz="0" w:space="0" w:color="auto"/>
      </w:divBdr>
    </w:div>
    <w:div w:id="665673545">
      <w:bodyDiv w:val="1"/>
      <w:marLeft w:val="0"/>
      <w:marRight w:val="0"/>
      <w:marTop w:val="0"/>
      <w:marBottom w:val="0"/>
      <w:divBdr>
        <w:top w:val="none" w:sz="0" w:space="0" w:color="auto"/>
        <w:left w:val="none" w:sz="0" w:space="0" w:color="auto"/>
        <w:bottom w:val="none" w:sz="0" w:space="0" w:color="auto"/>
        <w:right w:val="none" w:sz="0" w:space="0" w:color="auto"/>
      </w:divBdr>
    </w:div>
    <w:div w:id="969553826">
      <w:bodyDiv w:val="1"/>
      <w:marLeft w:val="0"/>
      <w:marRight w:val="0"/>
      <w:marTop w:val="0"/>
      <w:marBottom w:val="0"/>
      <w:divBdr>
        <w:top w:val="none" w:sz="0" w:space="0" w:color="auto"/>
        <w:left w:val="none" w:sz="0" w:space="0" w:color="auto"/>
        <w:bottom w:val="none" w:sz="0" w:space="0" w:color="auto"/>
        <w:right w:val="none" w:sz="0" w:space="0" w:color="auto"/>
      </w:divBdr>
    </w:div>
    <w:div w:id="983583703">
      <w:bodyDiv w:val="1"/>
      <w:marLeft w:val="0"/>
      <w:marRight w:val="0"/>
      <w:marTop w:val="0"/>
      <w:marBottom w:val="0"/>
      <w:divBdr>
        <w:top w:val="none" w:sz="0" w:space="0" w:color="auto"/>
        <w:left w:val="none" w:sz="0" w:space="0" w:color="auto"/>
        <w:bottom w:val="none" w:sz="0" w:space="0" w:color="auto"/>
        <w:right w:val="none" w:sz="0" w:space="0" w:color="auto"/>
      </w:divBdr>
    </w:div>
    <w:div w:id="1085346908">
      <w:bodyDiv w:val="1"/>
      <w:marLeft w:val="0"/>
      <w:marRight w:val="0"/>
      <w:marTop w:val="0"/>
      <w:marBottom w:val="0"/>
      <w:divBdr>
        <w:top w:val="none" w:sz="0" w:space="0" w:color="auto"/>
        <w:left w:val="none" w:sz="0" w:space="0" w:color="auto"/>
        <w:bottom w:val="none" w:sz="0" w:space="0" w:color="auto"/>
        <w:right w:val="none" w:sz="0" w:space="0" w:color="auto"/>
      </w:divBdr>
    </w:div>
    <w:div w:id="1231618894">
      <w:bodyDiv w:val="1"/>
      <w:marLeft w:val="0"/>
      <w:marRight w:val="0"/>
      <w:marTop w:val="0"/>
      <w:marBottom w:val="0"/>
      <w:divBdr>
        <w:top w:val="none" w:sz="0" w:space="0" w:color="auto"/>
        <w:left w:val="none" w:sz="0" w:space="0" w:color="auto"/>
        <w:bottom w:val="none" w:sz="0" w:space="0" w:color="auto"/>
        <w:right w:val="none" w:sz="0" w:space="0" w:color="auto"/>
      </w:divBdr>
      <w:divsChild>
        <w:div w:id="755437380">
          <w:marLeft w:val="0"/>
          <w:marRight w:val="0"/>
          <w:marTop w:val="0"/>
          <w:marBottom w:val="0"/>
          <w:divBdr>
            <w:top w:val="single" w:sz="2" w:space="0" w:color="D9D9E3"/>
            <w:left w:val="single" w:sz="2" w:space="0" w:color="D9D9E3"/>
            <w:bottom w:val="single" w:sz="2" w:space="0" w:color="D9D9E3"/>
            <w:right w:val="single" w:sz="2" w:space="0" w:color="D9D9E3"/>
          </w:divBdr>
          <w:divsChild>
            <w:div w:id="725030257">
              <w:marLeft w:val="0"/>
              <w:marRight w:val="0"/>
              <w:marTop w:val="0"/>
              <w:marBottom w:val="0"/>
              <w:divBdr>
                <w:top w:val="single" w:sz="2" w:space="0" w:color="auto"/>
                <w:left w:val="single" w:sz="2" w:space="0" w:color="auto"/>
                <w:bottom w:val="single" w:sz="4" w:space="0" w:color="auto"/>
                <w:right w:val="single" w:sz="2" w:space="0" w:color="auto"/>
              </w:divBdr>
              <w:divsChild>
                <w:div w:id="1234193788">
                  <w:marLeft w:val="0"/>
                  <w:marRight w:val="0"/>
                  <w:marTop w:val="100"/>
                  <w:marBottom w:val="100"/>
                  <w:divBdr>
                    <w:top w:val="single" w:sz="2" w:space="0" w:color="D9D9E3"/>
                    <w:left w:val="single" w:sz="2" w:space="0" w:color="D9D9E3"/>
                    <w:bottom w:val="single" w:sz="2" w:space="0" w:color="D9D9E3"/>
                    <w:right w:val="single" w:sz="2" w:space="0" w:color="D9D9E3"/>
                  </w:divBdr>
                  <w:divsChild>
                    <w:div w:id="1736199268">
                      <w:marLeft w:val="0"/>
                      <w:marRight w:val="0"/>
                      <w:marTop w:val="0"/>
                      <w:marBottom w:val="0"/>
                      <w:divBdr>
                        <w:top w:val="single" w:sz="2" w:space="0" w:color="D9D9E3"/>
                        <w:left w:val="single" w:sz="2" w:space="0" w:color="D9D9E3"/>
                        <w:bottom w:val="single" w:sz="2" w:space="0" w:color="D9D9E3"/>
                        <w:right w:val="single" w:sz="2" w:space="0" w:color="D9D9E3"/>
                      </w:divBdr>
                      <w:divsChild>
                        <w:div w:id="1352344144">
                          <w:marLeft w:val="0"/>
                          <w:marRight w:val="0"/>
                          <w:marTop w:val="0"/>
                          <w:marBottom w:val="0"/>
                          <w:divBdr>
                            <w:top w:val="single" w:sz="2" w:space="0" w:color="D9D9E3"/>
                            <w:left w:val="single" w:sz="2" w:space="0" w:color="D9D9E3"/>
                            <w:bottom w:val="single" w:sz="2" w:space="0" w:color="D9D9E3"/>
                            <w:right w:val="single" w:sz="2" w:space="0" w:color="D9D9E3"/>
                          </w:divBdr>
                          <w:divsChild>
                            <w:div w:id="1913008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2853673">
      <w:bodyDiv w:val="1"/>
      <w:marLeft w:val="0"/>
      <w:marRight w:val="0"/>
      <w:marTop w:val="0"/>
      <w:marBottom w:val="0"/>
      <w:divBdr>
        <w:top w:val="none" w:sz="0" w:space="0" w:color="auto"/>
        <w:left w:val="none" w:sz="0" w:space="0" w:color="auto"/>
        <w:bottom w:val="none" w:sz="0" w:space="0" w:color="auto"/>
        <w:right w:val="none" w:sz="0" w:space="0" w:color="auto"/>
      </w:divBdr>
    </w:div>
    <w:div w:id="1275753335">
      <w:bodyDiv w:val="1"/>
      <w:marLeft w:val="0"/>
      <w:marRight w:val="0"/>
      <w:marTop w:val="0"/>
      <w:marBottom w:val="0"/>
      <w:divBdr>
        <w:top w:val="none" w:sz="0" w:space="0" w:color="auto"/>
        <w:left w:val="none" w:sz="0" w:space="0" w:color="auto"/>
        <w:bottom w:val="none" w:sz="0" w:space="0" w:color="auto"/>
        <w:right w:val="none" w:sz="0" w:space="0" w:color="auto"/>
      </w:divBdr>
      <w:divsChild>
        <w:div w:id="1253929092">
          <w:marLeft w:val="547"/>
          <w:marRight w:val="0"/>
          <w:marTop w:val="0"/>
          <w:marBottom w:val="0"/>
          <w:divBdr>
            <w:top w:val="none" w:sz="0" w:space="0" w:color="auto"/>
            <w:left w:val="none" w:sz="0" w:space="0" w:color="auto"/>
            <w:bottom w:val="none" w:sz="0" w:space="0" w:color="auto"/>
            <w:right w:val="none" w:sz="0" w:space="0" w:color="auto"/>
          </w:divBdr>
        </w:div>
        <w:div w:id="629018225">
          <w:marLeft w:val="547"/>
          <w:marRight w:val="0"/>
          <w:marTop w:val="0"/>
          <w:marBottom w:val="0"/>
          <w:divBdr>
            <w:top w:val="none" w:sz="0" w:space="0" w:color="auto"/>
            <w:left w:val="none" w:sz="0" w:space="0" w:color="auto"/>
            <w:bottom w:val="none" w:sz="0" w:space="0" w:color="auto"/>
            <w:right w:val="none" w:sz="0" w:space="0" w:color="auto"/>
          </w:divBdr>
        </w:div>
        <w:div w:id="1008485390">
          <w:marLeft w:val="547"/>
          <w:marRight w:val="0"/>
          <w:marTop w:val="0"/>
          <w:marBottom w:val="0"/>
          <w:divBdr>
            <w:top w:val="none" w:sz="0" w:space="0" w:color="auto"/>
            <w:left w:val="none" w:sz="0" w:space="0" w:color="auto"/>
            <w:bottom w:val="none" w:sz="0" w:space="0" w:color="auto"/>
            <w:right w:val="none" w:sz="0" w:space="0" w:color="auto"/>
          </w:divBdr>
        </w:div>
        <w:div w:id="949094689">
          <w:marLeft w:val="547"/>
          <w:marRight w:val="0"/>
          <w:marTop w:val="0"/>
          <w:marBottom w:val="0"/>
          <w:divBdr>
            <w:top w:val="none" w:sz="0" w:space="0" w:color="auto"/>
            <w:left w:val="none" w:sz="0" w:space="0" w:color="auto"/>
            <w:bottom w:val="none" w:sz="0" w:space="0" w:color="auto"/>
            <w:right w:val="none" w:sz="0" w:space="0" w:color="auto"/>
          </w:divBdr>
        </w:div>
        <w:div w:id="714816902">
          <w:marLeft w:val="547"/>
          <w:marRight w:val="0"/>
          <w:marTop w:val="0"/>
          <w:marBottom w:val="0"/>
          <w:divBdr>
            <w:top w:val="none" w:sz="0" w:space="0" w:color="auto"/>
            <w:left w:val="none" w:sz="0" w:space="0" w:color="auto"/>
            <w:bottom w:val="none" w:sz="0" w:space="0" w:color="auto"/>
            <w:right w:val="none" w:sz="0" w:space="0" w:color="auto"/>
          </w:divBdr>
        </w:div>
      </w:divsChild>
    </w:div>
    <w:div w:id="1278488036">
      <w:bodyDiv w:val="1"/>
      <w:marLeft w:val="0"/>
      <w:marRight w:val="0"/>
      <w:marTop w:val="0"/>
      <w:marBottom w:val="0"/>
      <w:divBdr>
        <w:top w:val="none" w:sz="0" w:space="0" w:color="auto"/>
        <w:left w:val="none" w:sz="0" w:space="0" w:color="auto"/>
        <w:bottom w:val="none" w:sz="0" w:space="0" w:color="auto"/>
        <w:right w:val="none" w:sz="0" w:space="0" w:color="auto"/>
      </w:divBdr>
    </w:div>
    <w:div w:id="1333754569">
      <w:bodyDiv w:val="1"/>
      <w:marLeft w:val="0"/>
      <w:marRight w:val="0"/>
      <w:marTop w:val="0"/>
      <w:marBottom w:val="0"/>
      <w:divBdr>
        <w:top w:val="none" w:sz="0" w:space="0" w:color="auto"/>
        <w:left w:val="none" w:sz="0" w:space="0" w:color="auto"/>
        <w:bottom w:val="none" w:sz="0" w:space="0" w:color="auto"/>
        <w:right w:val="none" w:sz="0" w:space="0" w:color="auto"/>
      </w:divBdr>
      <w:divsChild>
        <w:div w:id="954604367">
          <w:marLeft w:val="0"/>
          <w:marRight w:val="0"/>
          <w:marTop w:val="0"/>
          <w:marBottom w:val="0"/>
          <w:divBdr>
            <w:top w:val="single" w:sz="2" w:space="0" w:color="D9D9E3"/>
            <w:left w:val="single" w:sz="2" w:space="0" w:color="D9D9E3"/>
            <w:bottom w:val="single" w:sz="2" w:space="0" w:color="D9D9E3"/>
            <w:right w:val="single" w:sz="2" w:space="0" w:color="D9D9E3"/>
          </w:divBdr>
          <w:divsChild>
            <w:div w:id="2001037391">
              <w:marLeft w:val="0"/>
              <w:marRight w:val="0"/>
              <w:marTop w:val="0"/>
              <w:marBottom w:val="0"/>
              <w:divBdr>
                <w:top w:val="single" w:sz="2" w:space="0" w:color="auto"/>
                <w:left w:val="single" w:sz="2" w:space="0" w:color="auto"/>
                <w:bottom w:val="single" w:sz="4" w:space="0" w:color="auto"/>
                <w:right w:val="single" w:sz="2" w:space="0" w:color="auto"/>
              </w:divBdr>
              <w:divsChild>
                <w:div w:id="1878545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049302">
                      <w:marLeft w:val="0"/>
                      <w:marRight w:val="0"/>
                      <w:marTop w:val="0"/>
                      <w:marBottom w:val="0"/>
                      <w:divBdr>
                        <w:top w:val="single" w:sz="2" w:space="0" w:color="D9D9E3"/>
                        <w:left w:val="single" w:sz="2" w:space="0" w:color="D9D9E3"/>
                        <w:bottom w:val="single" w:sz="2" w:space="0" w:color="D9D9E3"/>
                        <w:right w:val="single" w:sz="2" w:space="0" w:color="D9D9E3"/>
                      </w:divBdr>
                      <w:divsChild>
                        <w:div w:id="1645816883">
                          <w:marLeft w:val="0"/>
                          <w:marRight w:val="0"/>
                          <w:marTop w:val="0"/>
                          <w:marBottom w:val="0"/>
                          <w:divBdr>
                            <w:top w:val="single" w:sz="2" w:space="0" w:color="D9D9E3"/>
                            <w:left w:val="single" w:sz="2" w:space="0" w:color="D9D9E3"/>
                            <w:bottom w:val="single" w:sz="2" w:space="0" w:color="D9D9E3"/>
                            <w:right w:val="single" w:sz="2" w:space="0" w:color="D9D9E3"/>
                          </w:divBdr>
                          <w:divsChild>
                            <w:div w:id="1353071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6904797">
      <w:bodyDiv w:val="1"/>
      <w:marLeft w:val="0"/>
      <w:marRight w:val="0"/>
      <w:marTop w:val="0"/>
      <w:marBottom w:val="0"/>
      <w:divBdr>
        <w:top w:val="none" w:sz="0" w:space="0" w:color="auto"/>
        <w:left w:val="none" w:sz="0" w:space="0" w:color="auto"/>
        <w:bottom w:val="none" w:sz="0" w:space="0" w:color="auto"/>
        <w:right w:val="none" w:sz="0" w:space="0" w:color="auto"/>
      </w:divBdr>
    </w:div>
    <w:div w:id="1778862686">
      <w:bodyDiv w:val="1"/>
      <w:marLeft w:val="0"/>
      <w:marRight w:val="0"/>
      <w:marTop w:val="0"/>
      <w:marBottom w:val="0"/>
      <w:divBdr>
        <w:top w:val="none" w:sz="0" w:space="0" w:color="auto"/>
        <w:left w:val="none" w:sz="0" w:space="0" w:color="auto"/>
        <w:bottom w:val="none" w:sz="0" w:space="0" w:color="auto"/>
        <w:right w:val="none" w:sz="0" w:space="0" w:color="auto"/>
      </w:divBdr>
    </w:div>
    <w:div w:id="1885558121">
      <w:bodyDiv w:val="1"/>
      <w:marLeft w:val="0"/>
      <w:marRight w:val="0"/>
      <w:marTop w:val="0"/>
      <w:marBottom w:val="0"/>
      <w:divBdr>
        <w:top w:val="none" w:sz="0" w:space="0" w:color="auto"/>
        <w:left w:val="none" w:sz="0" w:space="0" w:color="auto"/>
        <w:bottom w:val="none" w:sz="0" w:space="0" w:color="auto"/>
        <w:right w:val="none" w:sz="0" w:space="0" w:color="auto"/>
      </w:divBdr>
    </w:div>
    <w:div w:id="1969622962">
      <w:bodyDiv w:val="1"/>
      <w:marLeft w:val="0"/>
      <w:marRight w:val="0"/>
      <w:marTop w:val="0"/>
      <w:marBottom w:val="0"/>
      <w:divBdr>
        <w:top w:val="none" w:sz="0" w:space="0" w:color="auto"/>
        <w:left w:val="none" w:sz="0" w:space="0" w:color="auto"/>
        <w:bottom w:val="none" w:sz="0" w:space="0" w:color="auto"/>
        <w:right w:val="none" w:sz="0" w:space="0" w:color="auto"/>
      </w:divBdr>
    </w:div>
    <w:div w:id="1977295138">
      <w:bodyDiv w:val="1"/>
      <w:marLeft w:val="0"/>
      <w:marRight w:val="0"/>
      <w:marTop w:val="0"/>
      <w:marBottom w:val="0"/>
      <w:divBdr>
        <w:top w:val="none" w:sz="0" w:space="0" w:color="auto"/>
        <w:left w:val="none" w:sz="0" w:space="0" w:color="auto"/>
        <w:bottom w:val="none" w:sz="0" w:space="0" w:color="auto"/>
        <w:right w:val="none" w:sz="0" w:space="0" w:color="auto"/>
      </w:divBdr>
    </w:div>
    <w:div w:id="20180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Pages>
  <Words>1711</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dc:creator>
  <cp:keywords/>
  <dc:description/>
  <cp:lastModifiedBy>KRU-3-315</cp:lastModifiedBy>
  <cp:revision>35</cp:revision>
  <cp:lastPrinted>2024-12-24T11:16:00Z</cp:lastPrinted>
  <dcterms:created xsi:type="dcterms:W3CDTF">2024-04-09T04:23:00Z</dcterms:created>
  <dcterms:modified xsi:type="dcterms:W3CDTF">2026-01-26T11:08:00Z</dcterms:modified>
</cp:coreProperties>
</file>