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3" w:type="pct"/>
        <w:tblInd w:w="-2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4"/>
        <w:gridCol w:w="5870"/>
      </w:tblGrid>
      <w:tr w:rsidR="00A20430" w:rsidRPr="00A21C7E" w14:paraId="760E7F48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41FA" w14:textId="77777777" w:rsidR="00A20430" w:rsidRPr="00A21C7E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21C7E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40EF161F" w14:textId="77777777" w:rsidR="00A20430" w:rsidRPr="00A21C7E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21C7E"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2F30784F" w14:textId="77777777" w:rsidR="00A20430" w:rsidRPr="00A21C7E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21C7E">
              <w:rPr>
                <w:rFonts w:ascii="Times New Roman" w:hAnsi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42864" w14:textId="77777777" w:rsidR="00A20430" w:rsidRPr="00A21C7E" w:rsidRDefault="00A20430" w:rsidP="00477CA2">
            <w:pPr>
              <w:spacing w:line="256" w:lineRule="auto"/>
              <w:ind w:left="1027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21C7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F00C4AE" wp14:editId="5B865400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74295</wp:posOffset>
                  </wp:positionV>
                  <wp:extent cx="972820" cy="866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21C7E">
              <w:rPr>
                <w:rFonts w:ascii="Times New Roman" w:hAnsi="Times New Roman"/>
                <w:sz w:val="28"/>
                <w:szCs w:val="28"/>
                <w:lang w:val="kk-KZ" w:eastAsia="ja-JP"/>
              </w:rPr>
              <w:t>НАО «Костанайский региональный университет имени А.Байтурсынова»</w:t>
            </w:r>
          </w:p>
        </w:tc>
      </w:tr>
      <w:tr w:rsidR="00A20430" w:rsidRPr="00A21C7E" w14:paraId="1F836DD4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F035" w14:textId="77777777" w:rsidR="00A20430" w:rsidRPr="00A21C7E" w:rsidRDefault="00A20430" w:rsidP="00477CA2">
            <w:pPr>
              <w:spacing w:line="256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21C7E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EF42" w14:textId="77777777" w:rsidR="00A20430" w:rsidRPr="00A21C7E" w:rsidRDefault="00A20430" w:rsidP="00477CA2">
            <w:pPr>
              <w:spacing w:line="256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21C7E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A20430" w:rsidRPr="00A21C7E" w14:paraId="60EF08FD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0FFF" w14:textId="77777777" w:rsidR="00A20430" w:rsidRPr="00A21C7E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A21C7E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АНЫҚТАМА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6309" w14:textId="77777777" w:rsidR="00A20430" w:rsidRPr="00A21C7E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A21C7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СПРАВКА</w:t>
            </w:r>
          </w:p>
        </w:tc>
      </w:tr>
      <w:tr w:rsidR="00A20430" w:rsidRPr="00A21C7E" w14:paraId="67107486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8BF01" w14:textId="77777777" w:rsidR="00A20430" w:rsidRPr="00A21C7E" w:rsidRDefault="00A20430" w:rsidP="00477C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A21C7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Ғылыми</w:t>
            </w:r>
            <w:proofErr w:type="spellEnd"/>
            <w:r w:rsidRPr="00A21C7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21C7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кеңес</w:t>
            </w:r>
            <w:proofErr w:type="spellEnd"/>
            <w:r w:rsidRPr="00A21C7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21C7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47530" w14:textId="77777777" w:rsidR="00A20430" w:rsidRPr="00A21C7E" w:rsidRDefault="00A20430" w:rsidP="00477C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A21C7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на заседание Ученого совета</w:t>
            </w:r>
          </w:p>
        </w:tc>
      </w:tr>
      <w:tr w:rsidR="00A20430" w:rsidRPr="00A21C7E" w14:paraId="241D20B6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1A75" w14:textId="77777777" w:rsidR="00A20430" w:rsidRPr="00A21C7E" w:rsidRDefault="00A20430" w:rsidP="009C03D4">
            <w:pPr>
              <w:spacing w:line="256" w:lineRule="auto"/>
              <w:ind w:left="283" w:hanging="283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21C7E">
              <w:rPr>
                <w:rFonts w:ascii="Times New Roman" w:hAnsi="Times New Roman"/>
                <w:sz w:val="28"/>
                <w:szCs w:val="28"/>
                <w:lang w:val="kk-KZ" w:eastAsia="ja-JP"/>
              </w:rPr>
              <w:t>__.__.202</w:t>
            </w:r>
            <w:r w:rsidR="009C03D4" w:rsidRPr="00A21C7E">
              <w:rPr>
                <w:rFonts w:ascii="Times New Roman" w:hAnsi="Times New Roman"/>
                <w:sz w:val="28"/>
                <w:szCs w:val="28"/>
                <w:lang w:val="kk-KZ" w:eastAsia="ja-JP"/>
              </w:rPr>
              <w:t>3</w:t>
            </w:r>
            <w:r w:rsidRPr="00A21C7E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FC47" w14:textId="77777777" w:rsidR="00A20430" w:rsidRPr="00A21C7E" w:rsidRDefault="00A20430" w:rsidP="009C03D4">
            <w:pPr>
              <w:spacing w:line="256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21C7E">
              <w:rPr>
                <w:rFonts w:ascii="Times New Roman" w:hAnsi="Times New Roman"/>
                <w:sz w:val="28"/>
                <w:szCs w:val="28"/>
                <w:lang w:val="kk-KZ" w:eastAsia="ja-JP"/>
              </w:rPr>
              <w:t>__.__.202</w:t>
            </w:r>
            <w:r w:rsidR="009C03D4" w:rsidRPr="00A21C7E">
              <w:rPr>
                <w:rFonts w:ascii="Times New Roman" w:hAnsi="Times New Roman"/>
                <w:sz w:val="28"/>
                <w:szCs w:val="28"/>
                <w:lang w:val="kk-KZ" w:eastAsia="ja-JP"/>
              </w:rPr>
              <w:t>3</w:t>
            </w:r>
            <w:r w:rsidRPr="00A21C7E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A20430" w:rsidRPr="00A21C7E" w14:paraId="28E1E41C" w14:textId="77777777" w:rsidTr="00477CA2">
        <w:tc>
          <w:tcPr>
            <w:tcW w:w="21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B5C5" w14:textId="77777777" w:rsidR="00A20430" w:rsidRPr="00A21C7E" w:rsidRDefault="00A20430" w:rsidP="00477CA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1C7E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Қостанай қаласы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FD44" w14:textId="77777777" w:rsidR="00A20430" w:rsidRPr="00A21C7E" w:rsidRDefault="00A20430" w:rsidP="00477CA2">
            <w:pPr>
              <w:spacing w:line="256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21C7E">
              <w:rPr>
                <w:rFonts w:ascii="Times New Roman" w:hAnsi="Times New Roman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14:paraId="7CF8C7CE" w14:textId="77777777" w:rsidR="00A20430" w:rsidRPr="00A21C7E" w:rsidRDefault="00A20430" w:rsidP="00A2043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162E88" w14:textId="77777777" w:rsidR="00A20430" w:rsidRPr="00A21C7E" w:rsidRDefault="00A20430" w:rsidP="00A20430">
      <w:pPr>
        <w:pStyle w:val="a3"/>
        <w:ind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040B9F" w14:textId="77777777" w:rsidR="00E32209" w:rsidRPr="00A21C7E" w:rsidRDefault="003E2EBF" w:rsidP="003E2EBF">
      <w:pPr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Утверждение академических календарей, образовательных программ, рабочих учебных планов, Положения о планировании учебной работы и педагогической нагрузки ППС на 2023-2024 учебный год </w:t>
      </w:r>
    </w:p>
    <w:p w14:paraId="533EA21C" w14:textId="77777777" w:rsidR="00A20430" w:rsidRPr="00A21C7E" w:rsidRDefault="00A20430" w:rsidP="00A204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DDF3BA" w14:textId="77777777" w:rsidR="00A20430" w:rsidRPr="00A21C7E" w:rsidRDefault="00A20430" w:rsidP="00D457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C7E">
        <w:rPr>
          <w:rFonts w:ascii="Times New Roman" w:hAnsi="Times New Roman" w:cs="Times New Roman"/>
          <w:b/>
          <w:sz w:val="28"/>
          <w:szCs w:val="28"/>
        </w:rPr>
        <w:t xml:space="preserve">Академические календари. </w:t>
      </w:r>
    </w:p>
    <w:p w14:paraId="71DBDB18" w14:textId="77777777" w:rsidR="00A20430" w:rsidRPr="00A21C7E" w:rsidRDefault="00A20430" w:rsidP="00D457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hAnsi="Times New Roman" w:cs="Times New Roman"/>
          <w:sz w:val="28"/>
          <w:szCs w:val="28"/>
        </w:rPr>
        <w:t xml:space="preserve">Академические календари </w:t>
      </w:r>
      <w:r w:rsidR="003E2EBF" w:rsidRPr="00A21C7E">
        <w:rPr>
          <w:rFonts w:ascii="Times New Roman" w:hAnsi="Times New Roman" w:cs="Times New Roman"/>
          <w:sz w:val="28"/>
          <w:szCs w:val="28"/>
        </w:rPr>
        <w:t xml:space="preserve">на 2023-2024 </w:t>
      </w:r>
      <w:proofErr w:type="spellStart"/>
      <w:proofErr w:type="gramStart"/>
      <w:r w:rsidR="003E2EBF" w:rsidRPr="00A21C7E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3E2EBF" w:rsidRPr="00A21C7E">
        <w:rPr>
          <w:rFonts w:ascii="Times New Roman" w:hAnsi="Times New Roman" w:cs="Times New Roman"/>
          <w:sz w:val="28"/>
          <w:szCs w:val="28"/>
        </w:rPr>
        <w:t xml:space="preserve"> по ОП высшего и послевузовского образования </w:t>
      </w:r>
      <w:bookmarkStart w:id="0" w:name="_GoBack"/>
      <w:bookmarkEnd w:id="0"/>
      <w:r w:rsidR="003E2EBF" w:rsidRPr="00A21C7E">
        <w:rPr>
          <w:rFonts w:ascii="Times New Roman" w:hAnsi="Times New Roman" w:cs="Times New Roman"/>
          <w:sz w:val="28"/>
          <w:szCs w:val="28"/>
        </w:rPr>
        <w:t xml:space="preserve">(магистратура (научно-педагогического направления) </w:t>
      </w:r>
      <w:r w:rsidRPr="00A21C7E">
        <w:rPr>
          <w:rFonts w:ascii="Times New Roman" w:hAnsi="Times New Roman" w:cs="Times New Roman"/>
          <w:sz w:val="28"/>
          <w:szCs w:val="28"/>
        </w:rPr>
        <w:t>разраб</w:t>
      </w:r>
      <w:r w:rsidR="003E2EBF" w:rsidRPr="00A21C7E">
        <w:rPr>
          <w:rFonts w:ascii="Times New Roman" w:hAnsi="Times New Roman" w:cs="Times New Roman"/>
          <w:sz w:val="28"/>
          <w:szCs w:val="28"/>
        </w:rPr>
        <w:t xml:space="preserve">отаны </w:t>
      </w:r>
      <w:r w:rsidRPr="00A21C7E">
        <w:rPr>
          <w:rFonts w:ascii="Times New Roman" w:hAnsi="Times New Roman" w:cs="Times New Roman"/>
          <w:sz w:val="28"/>
          <w:szCs w:val="28"/>
        </w:rPr>
        <w:t>заместителями директоров по учебной работе</w:t>
      </w:r>
      <w:r w:rsidR="003E2EBF" w:rsidRPr="00A21C7E">
        <w:rPr>
          <w:rFonts w:ascii="Times New Roman" w:hAnsi="Times New Roman" w:cs="Times New Roman"/>
          <w:sz w:val="28"/>
          <w:szCs w:val="28"/>
        </w:rPr>
        <w:t xml:space="preserve"> институтов</w:t>
      </w:r>
      <w:r w:rsidRPr="00A21C7E">
        <w:rPr>
          <w:rFonts w:ascii="Times New Roman" w:hAnsi="Times New Roman" w:cs="Times New Roman"/>
          <w:sz w:val="28"/>
          <w:szCs w:val="28"/>
        </w:rPr>
        <w:t>. Координи</w:t>
      </w:r>
      <w:r w:rsidR="003E2EBF" w:rsidRPr="00A21C7E">
        <w:rPr>
          <w:rFonts w:ascii="Times New Roman" w:hAnsi="Times New Roman" w:cs="Times New Roman"/>
          <w:sz w:val="28"/>
          <w:szCs w:val="28"/>
        </w:rPr>
        <w:t>ровал</w:t>
      </w:r>
      <w:r w:rsidRPr="00A21C7E">
        <w:rPr>
          <w:rFonts w:ascii="Times New Roman" w:hAnsi="Times New Roman" w:cs="Times New Roman"/>
          <w:sz w:val="28"/>
          <w:szCs w:val="28"/>
        </w:rPr>
        <w:t xml:space="preserve"> данную работу </w:t>
      </w:r>
      <w:r w:rsidR="009C03D4" w:rsidRPr="00A21C7E">
        <w:rPr>
          <w:rFonts w:ascii="Times New Roman" w:hAnsi="Times New Roman" w:cs="Times New Roman"/>
          <w:sz w:val="28"/>
          <w:szCs w:val="28"/>
        </w:rPr>
        <w:t>Отдел образовательных программ</w:t>
      </w:r>
      <w:r w:rsidRPr="00A21C7E">
        <w:rPr>
          <w:rFonts w:ascii="Times New Roman" w:hAnsi="Times New Roman" w:cs="Times New Roman"/>
          <w:sz w:val="28"/>
          <w:szCs w:val="28"/>
        </w:rPr>
        <w:t xml:space="preserve"> (макеты академических календарей по уровням обучения разрабатываются </w:t>
      </w:r>
      <w:r w:rsidR="009C03D4" w:rsidRPr="00A21C7E">
        <w:rPr>
          <w:rFonts w:ascii="Times New Roman" w:hAnsi="Times New Roman" w:cs="Times New Roman"/>
          <w:sz w:val="28"/>
          <w:szCs w:val="28"/>
        </w:rPr>
        <w:t>ООП</w:t>
      </w:r>
      <w:r w:rsidRPr="00A21C7E">
        <w:rPr>
          <w:rFonts w:ascii="Times New Roman" w:hAnsi="Times New Roman" w:cs="Times New Roman"/>
          <w:sz w:val="28"/>
          <w:szCs w:val="28"/>
        </w:rPr>
        <w:t xml:space="preserve">).  </w:t>
      </w:r>
      <w:r w:rsidR="003E2EBF" w:rsidRPr="00A21C7E">
        <w:rPr>
          <w:rFonts w:ascii="Times New Roman" w:hAnsi="Times New Roman" w:cs="Times New Roman"/>
          <w:sz w:val="28"/>
          <w:szCs w:val="28"/>
        </w:rPr>
        <w:t>Академические календари по ОП послевузовского образования (магистратура профильного направления, для лиц, закончивших профильную магистратуру</w:t>
      </w:r>
      <w:r w:rsidR="00D4575C" w:rsidRPr="00A21C7E">
        <w:rPr>
          <w:rFonts w:ascii="Times New Roman" w:hAnsi="Times New Roman" w:cs="Times New Roman"/>
          <w:sz w:val="28"/>
          <w:szCs w:val="28"/>
        </w:rPr>
        <w:t>, докторантура, зимний прием магистратура и докторантура) разработаны общие для всех ОП.</w:t>
      </w:r>
    </w:p>
    <w:p w14:paraId="1A710E39" w14:textId="77777777" w:rsidR="00A20430" w:rsidRPr="00A21C7E" w:rsidRDefault="00A20430" w:rsidP="00D457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hAnsi="Times New Roman" w:cs="Times New Roman"/>
          <w:sz w:val="28"/>
          <w:szCs w:val="28"/>
        </w:rPr>
        <w:t>При разработке академических календарей по образовательным программам бакалавриата, магистратуры, докторантуры учтен План набора на 202</w:t>
      </w:r>
      <w:r w:rsidR="009C03D4" w:rsidRPr="00A21C7E">
        <w:rPr>
          <w:rFonts w:ascii="Times New Roman" w:hAnsi="Times New Roman" w:cs="Times New Roman"/>
          <w:sz w:val="28"/>
          <w:szCs w:val="28"/>
        </w:rPr>
        <w:t>3</w:t>
      </w:r>
      <w:r w:rsidRPr="00A21C7E">
        <w:rPr>
          <w:rFonts w:ascii="Times New Roman" w:hAnsi="Times New Roman" w:cs="Times New Roman"/>
          <w:sz w:val="28"/>
          <w:szCs w:val="28"/>
        </w:rPr>
        <w:t>-202</w:t>
      </w:r>
      <w:r w:rsidR="009C03D4" w:rsidRPr="00A21C7E">
        <w:rPr>
          <w:rFonts w:ascii="Times New Roman" w:hAnsi="Times New Roman" w:cs="Times New Roman"/>
          <w:sz w:val="28"/>
          <w:szCs w:val="28"/>
        </w:rPr>
        <w:t>4</w:t>
      </w:r>
      <w:r w:rsidRPr="00A21C7E">
        <w:rPr>
          <w:rFonts w:ascii="Times New Roman" w:hAnsi="Times New Roman" w:cs="Times New Roman"/>
          <w:sz w:val="28"/>
          <w:szCs w:val="28"/>
        </w:rPr>
        <w:t xml:space="preserve"> учебный год в р</w:t>
      </w:r>
      <w:r w:rsidR="009C03D4" w:rsidRPr="00A21C7E">
        <w:rPr>
          <w:rFonts w:ascii="Times New Roman" w:hAnsi="Times New Roman" w:cs="Times New Roman"/>
          <w:sz w:val="28"/>
          <w:szCs w:val="28"/>
        </w:rPr>
        <w:t>азрезе уровней и форм обучения</w:t>
      </w:r>
      <w:r w:rsidRPr="00A21C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3B66C3" w14:textId="77777777" w:rsidR="00A20430" w:rsidRPr="00A21C7E" w:rsidRDefault="00D4575C" w:rsidP="00D457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hAnsi="Times New Roman" w:cs="Times New Roman"/>
          <w:sz w:val="28"/>
          <w:szCs w:val="28"/>
        </w:rPr>
        <w:t xml:space="preserve">На данный момент процедура разработки академических календарей по реализуемым в университете образовательным программам бакалавриата, магистратуры, докторантуры завершена. Академические календари высшего образования прошли процедуру согласования с Управлением по академической деятельности, Центром карьеры и трудоустройства. </w:t>
      </w:r>
      <w:r w:rsidR="00A20430" w:rsidRPr="00A21C7E">
        <w:rPr>
          <w:rFonts w:ascii="Times New Roman" w:hAnsi="Times New Roman" w:cs="Times New Roman"/>
          <w:sz w:val="28"/>
          <w:szCs w:val="28"/>
        </w:rPr>
        <w:t>Академические календари послевузовского образования (магистратура, докторантура) про</w:t>
      </w:r>
      <w:r w:rsidRPr="00A21C7E">
        <w:rPr>
          <w:rFonts w:ascii="Times New Roman" w:hAnsi="Times New Roman" w:cs="Times New Roman"/>
          <w:sz w:val="28"/>
          <w:szCs w:val="28"/>
        </w:rPr>
        <w:t>шли</w:t>
      </w:r>
      <w:r w:rsidR="00A20430" w:rsidRPr="00A21C7E">
        <w:rPr>
          <w:rFonts w:ascii="Times New Roman" w:hAnsi="Times New Roman" w:cs="Times New Roman"/>
          <w:sz w:val="28"/>
          <w:szCs w:val="28"/>
        </w:rPr>
        <w:t xml:space="preserve"> процедуру согласования с </w:t>
      </w:r>
      <w:r w:rsidRPr="00A21C7E">
        <w:rPr>
          <w:rFonts w:ascii="Times New Roman" w:hAnsi="Times New Roman" w:cs="Times New Roman"/>
          <w:sz w:val="28"/>
          <w:szCs w:val="28"/>
        </w:rPr>
        <w:t xml:space="preserve">Управлением по академической деятельности, </w:t>
      </w:r>
      <w:r w:rsidR="009C03D4" w:rsidRPr="00A21C7E">
        <w:rPr>
          <w:rFonts w:ascii="Times New Roman" w:hAnsi="Times New Roman" w:cs="Times New Roman"/>
          <w:sz w:val="28"/>
          <w:szCs w:val="28"/>
        </w:rPr>
        <w:t>Управление науки и коммерциализации</w:t>
      </w:r>
      <w:r w:rsidRPr="00A21C7E">
        <w:rPr>
          <w:rFonts w:ascii="Times New Roman" w:hAnsi="Times New Roman" w:cs="Times New Roman"/>
          <w:sz w:val="28"/>
          <w:szCs w:val="28"/>
        </w:rPr>
        <w:t>, Центром карьеры и трудоустройства.</w:t>
      </w:r>
    </w:p>
    <w:p w14:paraId="47E240AC" w14:textId="77777777" w:rsidR="00A20430" w:rsidRPr="00A21C7E" w:rsidRDefault="00A20430" w:rsidP="00D457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D7EDCF" w14:textId="77777777" w:rsidR="00300660" w:rsidRPr="00A21C7E" w:rsidRDefault="00D4575C" w:rsidP="00D4575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C7E">
        <w:rPr>
          <w:rFonts w:ascii="Times New Roman" w:hAnsi="Times New Roman" w:cs="Times New Roman"/>
          <w:b/>
          <w:sz w:val="28"/>
          <w:szCs w:val="28"/>
        </w:rPr>
        <w:t>Образовательные программы и у</w:t>
      </w:r>
      <w:r w:rsidR="00300660" w:rsidRPr="00A21C7E">
        <w:rPr>
          <w:rFonts w:ascii="Times New Roman" w:hAnsi="Times New Roman" w:cs="Times New Roman"/>
          <w:b/>
          <w:sz w:val="28"/>
          <w:szCs w:val="28"/>
        </w:rPr>
        <w:t>чебные планы.</w:t>
      </w:r>
    </w:p>
    <w:p w14:paraId="6FCB0A8B" w14:textId="77777777" w:rsidR="00D4575C" w:rsidRPr="00A21C7E" w:rsidRDefault="00D4575C" w:rsidP="00D457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1C7E">
        <w:rPr>
          <w:rFonts w:ascii="Times New Roman" w:hAnsi="Times New Roman"/>
          <w:sz w:val="28"/>
          <w:szCs w:val="28"/>
        </w:rPr>
        <w:t xml:space="preserve">Сегодня в АИС «Реестр ОП» </w:t>
      </w:r>
      <w:proofErr w:type="spellStart"/>
      <w:r w:rsidRPr="00A21C7E">
        <w:rPr>
          <w:rFonts w:ascii="Times New Roman" w:hAnsi="Times New Roman"/>
          <w:sz w:val="28"/>
          <w:szCs w:val="28"/>
        </w:rPr>
        <w:t>ЦБПиАМ</w:t>
      </w:r>
      <w:proofErr w:type="spellEnd"/>
      <w:r w:rsidRPr="00A21C7E">
        <w:rPr>
          <w:rFonts w:ascii="Times New Roman" w:hAnsi="Times New Roman"/>
          <w:sz w:val="28"/>
          <w:szCs w:val="28"/>
        </w:rPr>
        <w:t xml:space="preserve">  зарегистрировано 141 образовательных программ высшего и послевузовского образования, из них 67 образовательных программ </w:t>
      </w:r>
      <w:proofErr w:type="spellStart"/>
      <w:r w:rsidRPr="00A21C7E">
        <w:rPr>
          <w:rFonts w:ascii="Times New Roman" w:hAnsi="Times New Roman"/>
          <w:sz w:val="28"/>
          <w:szCs w:val="28"/>
        </w:rPr>
        <w:t>бакалаврита</w:t>
      </w:r>
      <w:proofErr w:type="spellEnd"/>
      <w:r w:rsidRPr="00A21C7E">
        <w:rPr>
          <w:rFonts w:ascii="Times New Roman" w:hAnsi="Times New Roman"/>
          <w:sz w:val="28"/>
          <w:szCs w:val="28"/>
        </w:rPr>
        <w:t xml:space="preserve"> (специалитета) 27 направлений подготовки,   56 образовательных программ магистратуры (научно-педагогического и/или профильного направления) 18 направлений подготовки,  18 образовательных  программ докторантуры 12 направлений подготовки. </w:t>
      </w:r>
      <w:proofErr w:type="gramStart"/>
      <w:r w:rsidRPr="00A21C7E">
        <w:rPr>
          <w:rFonts w:ascii="Times New Roman" w:hAnsi="Times New Roman"/>
          <w:sz w:val="28"/>
          <w:szCs w:val="28"/>
        </w:rPr>
        <w:t>Из 141 программ</w:t>
      </w:r>
      <w:proofErr w:type="gramEnd"/>
      <w:r w:rsidRPr="00A21C7E">
        <w:rPr>
          <w:rFonts w:ascii="Times New Roman" w:hAnsi="Times New Roman"/>
          <w:sz w:val="28"/>
          <w:szCs w:val="28"/>
        </w:rPr>
        <w:t xml:space="preserve"> действующих 110 программ, новых - 25, инновационных – 6. </w:t>
      </w:r>
    </w:p>
    <w:p w14:paraId="5B60695C" w14:textId="77777777" w:rsidR="00D4575C" w:rsidRPr="00A21C7E" w:rsidRDefault="00D4575C" w:rsidP="00D4575C">
      <w:pPr>
        <w:pStyle w:val="a3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C7E">
        <w:rPr>
          <w:rFonts w:ascii="Times New Roman" w:hAnsi="Times New Roman"/>
          <w:sz w:val="28"/>
          <w:szCs w:val="28"/>
        </w:rPr>
        <w:lastRenderedPageBreak/>
        <w:t>Управлением  по</w:t>
      </w:r>
      <w:proofErr w:type="gramEnd"/>
      <w:r w:rsidRPr="00A21C7E">
        <w:rPr>
          <w:rFonts w:ascii="Times New Roman" w:hAnsi="Times New Roman"/>
          <w:sz w:val="28"/>
          <w:szCs w:val="28"/>
        </w:rPr>
        <w:t xml:space="preserve"> академической деятельности совместно с директоратами и кафедрами разработан План набора обучающихся по ОП на 2023 год в разрезе уровней и форм обучения. Также разработаны и утверждены проректором по академическим вопросам 10 апреля </w:t>
      </w:r>
      <w:proofErr w:type="spellStart"/>
      <w:r w:rsidRPr="00A21C7E">
        <w:rPr>
          <w:rFonts w:ascii="Times New Roman" w:hAnsi="Times New Roman"/>
          <w:sz w:val="28"/>
          <w:szCs w:val="28"/>
        </w:rPr>
        <w:t>т.г</w:t>
      </w:r>
      <w:proofErr w:type="spellEnd"/>
      <w:r w:rsidRPr="00A21C7E">
        <w:rPr>
          <w:rFonts w:ascii="Times New Roman" w:hAnsi="Times New Roman"/>
          <w:sz w:val="28"/>
          <w:szCs w:val="28"/>
        </w:rPr>
        <w:t>. Рекомендации по планированию учебного процесса по образовательным программам высшего и послевузовского образования на 2023-2024 учебный год.</w:t>
      </w:r>
    </w:p>
    <w:p w14:paraId="1CB6D9CC" w14:textId="77777777" w:rsidR="00D4575C" w:rsidRPr="00A21C7E" w:rsidRDefault="00D4575C" w:rsidP="00D4575C">
      <w:pPr>
        <w:pStyle w:val="a3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C7E">
        <w:rPr>
          <w:rFonts w:ascii="Times New Roman" w:hAnsi="Times New Roman"/>
          <w:sz w:val="28"/>
          <w:szCs w:val="28"/>
        </w:rPr>
        <w:t>В связи с внесением утверждением нового ГОСО высшего и послевузовского образования, обновлением содержаний Профессиональных стандартов в образовательные программы университета вносятся изменения и дополнения. Существенно изменено содержание Профессионального стандарта «Педагог» (приказ МП РК от 15.12.2022 года №500). Также обновлены профессиональные стандарты в области театрального искусства, спорта, сельского хозяйства, ИКТ, туризма и гостиничного хозяйства, стандартизации, машиностроения и металлообработки, пищевой промышленности, электроэнергетики, СМИ.</w:t>
      </w:r>
    </w:p>
    <w:p w14:paraId="2DCE25C0" w14:textId="77777777" w:rsidR="00D4575C" w:rsidRPr="00A21C7E" w:rsidRDefault="00D4575C" w:rsidP="00D4575C">
      <w:pPr>
        <w:pStyle w:val="a3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C7E">
        <w:rPr>
          <w:rFonts w:ascii="Times New Roman" w:hAnsi="Times New Roman"/>
          <w:sz w:val="28"/>
          <w:szCs w:val="28"/>
        </w:rPr>
        <w:t>В 2023 году для получения лицензии по направлению подготовки 7М014 Подготовка педагогов с предметной специализацией общего развития разработаны и включены в реестр образовательные программы 7M01401 Физическая культура и спорт; 7M01402 Физическая культура и спорт (1 год).  Для лицензирования направления подготовки 7М013 Подготовка учителей без предметной специализации разработаны и включены в реестр образовательные программы 7M01301 Педагогика и методика начального обучения, 7M01302 Педагогика и методика начального обучения (1 год). Для лицензирования направления подготовки 7М017 Подготовка педагогов по языкам и литературе разработаны и включена в реестр образовательная программа 7M01701 Казахский язык и литература, 7M01702 Казахский язык и литература (1 год). Для лицензирования направления подготовки 6В114 Социальная работа подготовлена и вносится в реестр образовательная программа 6В</w:t>
      </w:r>
      <w:proofErr w:type="gramStart"/>
      <w:r w:rsidRPr="00A21C7E">
        <w:rPr>
          <w:rFonts w:ascii="Times New Roman" w:hAnsi="Times New Roman"/>
          <w:sz w:val="28"/>
          <w:szCs w:val="28"/>
        </w:rPr>
        <w:t>11401  Социальная</w:t>
      </w:r>
      <w:proofErr w:type="gramEnd"/>
      <w:r w:rsidRPr="00A21C7E">
        <w:rPr>
          <w:rFonts w:ascii="Times New Roman" w:hAnsi="Times New Roman"/>
          <w:sz w:val="28"/>
          <w:szCs w:val="28"/>
        </w:rPr>
        <w:t xml:space="preserve"> работа.</w:t>
      </w:r>
    </w:p>
    <w:p w14:paraId="588B0AE5" w14:textId="77777777" w:rsidR="00D4575C" w:rsidRPr="00A21C7E" w:rsidRDefault="00D4575C" w:rsidP="00D4575C">
      <w:pPr>
        <w:pStyle w:val="a4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1C7E">
        <w:rPr>
          <w:rFonts w:ascii="Times New Roman" w:hAnsi="Times New Roman"/>
          <w:sz w:val="28"/>
          <w:szCs w:val="28"/>
        </w:rPr>
        <w:t>В рамках направления подготовки «6B081 Агрономия» совместно с Казахским научно-</w:t>
      </w:r>
      <w:proofErr w:type="gramStart"/>
      <w:r w:rsidRPr="00A21C7E">
        <w:rPr>
          <w:rFonts w:ascii="Times New Roman" w:hAnsi="Times New Roman"/>
          <w:sz w:val="28"/>
          <w:szCs w:val="28"/>
        </w:rPr>
        <w:t>исследовательским  институтом</w:t>
      </w:r>
      <w:proofErr w:type="gramEnd"/>
      <w:r w:rsidRPr="00A21C7E">
        <w:rPr>
          <w:rFonts w:ascii="Times New Roman" w:hAnsi="Times New Roman"/>
          <w:sz w:val="28"/>
          <w:szCs w:val="28"/>
        </w:rPr>
        <w:t xml:space="preserve"> защиты и карантина растений разработана и вносится в Реестр ОП образовательная программа 6В08102 Защита и карантин растений.</w:t>
      </w:r>
    </w:p>
    <w:p w14:paraId="692DCC5B" w14:textId="77777777" w:rsidR="00D4575C" w:rsidRPr="00A21C7E" w:rsidRDefault="00D4575C" w:rsidP="00D4575C">
      <w:pPr>
        <w:pStyle w:val="a4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1C7E">
        <w:rPr>
          <w:rFonts w:ascii="Times New Roman" w:hAnsi="Times New Roman"/>
          <w:sz w:val="28"/>
          <w:szCs w:val="28"/>
        </w:rPr>
        <w:t>В рамках проекта Всемирного банка «Усиление педагогического образования» разработано 30 образовательных программ в области «Педагогические науки», в том числе «Дошкольное образование» (базовый вуз</w:t>
      </w:r>
      <w:r w:rsidR="00F77DEE" w:rsidRPr="00A21C7E">
        <w:rPr>
          <w:rFonts w:ascii="Times New Roman" w:hAnsi="Times New Roman"/>
          <w:sz w:val="28"/>
          <w:szCs w:val="28"/>
        </w:rPr>
        <w:t xml:space="preserve"> </w:t>
      </w:r>
      <w:r w:rsidRPr="00A21C7E">
        <w:rPr>
          <w:rFonts w:ascii="Times New Roman" w:hAnsi="Times New Roman"/>
          <w:sz w:val="28"/>
          <w:szCs w:val="28"/>
        </w:rPr>
        <w:t xml:space="preserve">- КРУ имени </w:t>
      </w:r>
      <w:proofErr w:type="spellStart"/>
      <w:r w:rsidRPr="00A21C7E">
        <w:rPr>
          <w:rFonts w:ascii="Times New Roman" w:hAnsi="Times New Roman"/>
          <w:sz w:val="28"/>
          <w:szCs w:val="28"/>
        </w:rPr>
        <w:t>А.Байтурсынова</w:t>
      </w:r>
      <w:proofErr w:type="spellEnd"/>
      <w:r w:rsidRPr="00A21C7E">
        <w:rPr>
          <w:rFonts w:ascii="Times New Roman" w:hAnsi="Times New Roman"/>
          <w:sz w:val="28"/>
          <w:szCs w:val="28"/>
        </w:rPr>
        <w:t xml:space="preserve">), «Начальное образование» (базовый вуз- КРУ имени </w:t>
      </w:r>
      <w:proofErr w:type="spellStart"/>
      <w:r w:rsidRPr="00A21C7E">
        <w:rPr>
          <w:rFonts w:ascii="Times New Roman" w:hAnsi="Times New Roman"/>
          <w:sz w:val="28"/>
          <w:szCs w:val="28"/>
        </w:rPr>
        <w:t>А.Байтурсынова</w:t>
      </w:r>
      <w:proofErr w:type="spellEnd"/>
      <w:r w:rsidRPr="00A21C7E">
        <w:rPr>
          <w:rFonts w:ascii="Times New Roman" w:hAnsi="Times New Roman"/>
          <w:sz w:val="28"/>
          <w:szCs w:val="28"/>
        </w:rPr>
        <w:t xml:space="preserve">), «Специальная педагогика» (базовый вуз- </w:t>
      </w:r>
      <w:proofErr w:type="spellStart"/>
      <w:r w:rsidRPr="00A21C7E">
        <w:rPr>
          <w:rFonts w:ascii="Times New Roman" w:hAnsi="Times New Roman"/>
          <w:sz w:val="28"/>
          <w:szCs w:val="28"/>
        </w:rPr>
        <w:t>КазНПУ</w:t>
      </w:r>
      <w:proofErr w:type="spellEnd"/>
      <w:r w:rsidRPr="00A21C7E">
        <w:rPr>
          <w:rFonts w:ascii="Times New Roman" w:hAnsi="Times New Roman"/>
          <w:sz w:val="28"/>
          <w:szCs w:val="28"/>
        </w:rPr>
        <w:t xml:space="preserve"> имени Абая)</w:t>
      </w:r>
      <w:r w:rsidRPr="00A21C7E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21C7E">
        <w:rPr>
          <w:rFonts w:ascii="Times New Roman" w:hAnsi="Times New Roman"/>
          <w:sz w:val="28"/>
          <w:szCs w:val="28"/>
        </w:rPr>
        <w:t xml:space="preserve">Данные программы нацелены на </w:t>
      </w:r>
      <w:proofErr w:type="gramStart"/>
      <w:r w:rsidRPr="00A21C7E">
        <w:rPr>
          <w:rFonts w:ascii="Times New Roman" w:hAnsi="Times New Roman"/>
          <w:sz w:val="28"/>
          <w:szCs w:val="28"/>
        </w:rPr>
        <w:t>цифровизацию  в</w:t>
      </w:r>
      <w:proofErr w:type="gramEnd"/>
      <w:r w:rsidRPr="00A21C7E">
        <w:rPr>
          <w:rFonts w:ascii="Times New Roman" w:hAnsi="Times New Roman"/>
          <w:sz w:val="28"/>
          <w:szCs w:val="28"/>
        </w:rPr>
        <w:t xml:space="preserve"> образовании и развитие цифровой компетентности учителей, </w:t>
      </w:r>
      <w:proofErr w:type="spellStart"/>
      <w:r w:rsidRPr="00A21C7E">
        <w:rPr>
          <w:rFonts w:ascii="Times New Roman" w:hAnsi="Times New Roman"/>
          <w:sz w:val="28"/>
          <w:szCs w:val="28"/>
        </w:rPr>
        <w:t>инклюзивность</w:t>
      </w:r>
      <w:proofErr w:type="spellEnd"/>
      <w:r w:rsidRPr="00A21C7E">
        <w:rPr>
          <w:rFonts w:ascii="Times New Roman" w:hAnsi="Times New Roman"/>
          <w:sz w:val="28"/>
          <w:szCs w:val="28"/>
        </w:rPr>
        <w:t xml:space="preserve"> образования, развитие гибких/универсальных педагогических навыков, управление изменениями,  исследовательский подход в педагогике,  STEM-образование, концепция CLIL. </w:t>
      </w:r>
    </w:p>
    <w:p w14:paraId="1D059EBF" w14:textId="77777777" w:rsidR="00300660" w:rsidRPr="00A21C7E" w:rsidRDefault="00D4575C" w:rsidP="00D4575C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hAnsi="Times New Roman"/>
          <w:sz w:val="28"/>
          <w:szCs w:val="28"/>
        </w:rPr>
        <w:t xml:space="preserve">В настоящее время Академическими комитетами начата процедура обновления ОП в реестре.  </w:t>
      </w:r>
      <w:r w:rsidR="00300660" w:rsidRPr="00A21C7E">
        <w:rPr>
          <w:rFonts w:ascii="Times New Roman" w:hAnsi="Times New Roman" w:cs="Times New Roman"/>
          <w:sz w:val="28"/>
          <w:szCs w:val="28"/>
        </w:rPr>
        <w:t xml:space="preserve">На основании образовательных </w:t>
      </w:r>
      <w:proofErr w:type="gramStart"/>
      <w:r w:rsidR="00300660" w:rsidRPr="00A21C7E">
        <w:rPr>
          <w:rFonts w:ascii="Times New Roman" w:hAnsi="Times New Roman" w:cs="Times New Roman"/>
          <w:sz w:val="28"/>
          <w:szCs w:val="28"/>
        </w:rPr>
        <w:t xml:space="preserve">программ  </w:t>
      </w:r>
      <w:r w:rsidR="00300660" w:rsidRPr="00A21C7E">
        <w:rPr>
          <w:rFonts w:ascii="Times New Roman" w:hAnsi="Times New Roman" w:cs="Times New Roman"/>
          <w:sz w:val="28"/>
          <w:szCs w:val="28"/>
        </w:rPr>
        <w:lastRenderedPageBreak/>
        <w:t>Академическими</w:t>
      </w:r>
      <w:proofErr w:type="gramEnd"/>
      <w:r w:rsidR="00300660" w:rsidRPr="00A21C7E">
        <w:rPr>
          <w:rFonts w:ascii="Times New Roman" w:hAnsi="Times New Roman" w:cs="Times New Roman"/>
          <w:sz w:val="28"/>
          <w:szCs w:val="28"/>
        </w:rPr>
        <w:t xml:space="preserve"> комитетами разработаны учебные планы на полный срок обучения, сокращенный срок обучения на базе технического и профессионального, высшего образования в соответствии с планом набора.  </w:t>
      </w:r>
    </w:p>
    <w:p w14:paraId="7BA7B723" w14:textId="77777777" w:rsidR="00300660" w:rsidRPr="00A21C7E" w:rsidRDefault="00300660" w:rsidP="00D457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29AAEE" w14:textId="77777777" w:rsidR="00A20430" w:rsidRPr="00A21C7E" w:rsidRDefault="00A20430" w:rsidP="00D457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C7E">
        <w:rPr>
          <w:rFonts w:ascii="Times New Roman" w:hAnsi="Times New Roman" w:cs="Times New Roman"/>
          <w:b/>
          <w:sz w:val="28"/>
          <w:szCs w:val="28"/>
        </w:rPr>
        <w:t>Рабочие учебные планы.</w:t>
      </w:r>
    </w:p>
    <w:p w14:paraId="158F57FC" w14:textId="77777777" w:rsidR="00A20430" w:rsidRPr="00A21C7E" w:rsidRDefault="00A20430" w:rsidP="00D457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hAnsi="Times New Roman" w:cs="Times New Roman"/>
          <w:sz w:val="28"/>
          <w:szCs w:val="28"/>
        </w:rPr>
        <w:t>Формированию рабочих учебных планов на 202</w:t>
      </w:r>
      <w:r w:rsidR="009C03D4" w:rsidRPr="00A21C7E">
        <w:rPr>
          <w:rFonts w:ascii="Times New Roman" w:hAnsi="Times New Roman" w:cs="Times New Roman"/>
          <w:sz w:val="28"/>
          <w:szCs w:val="28"/>
        </w:rPr>
        <w:t>3</w:t>
      </w:r>
      <w:r w:rsidRPr="00A21C7E">
        <w:rPr>
          <w:rFonts w:ascii="Times New Roman" w:hAnsi="Times New Roman" w:cs="Times New Roman"/>
          <w:sz w:val="28"/>
          <w:szCs w:val="28"/>
        </w:rPr>
        <w:t>-202</w:t>
      </w:r>
      <w:r w:rsidR="009C03D4" w:rsidRPr="00A21C7E">
        <w:rPr>
          <w:rFonts w:ascii="Times New Roman" w:hAnsi="Times New Roman" w:cs="Times New Roman"/>
          <w:sz w:val="28"/>
          <w:szCs w:val="28"/>
        </w:rPr>
        <w:t>4</w:t>
      </w:r>
      <w:r w:rsidRPr="00A21C7E">
        <w:rPr>
          <w:rFonts w:ascii="Times New Roman" w:hAnsi="Times New Roman" w:cs="Times New Roman"/>
          <w:sz w:val="28"/>
          <w:szCs w:val="28"/>
        </w:rPr>
        <w:t xml:space="preserve"> учебный год предшествовала процедура записи обучающихся на дисциплины и соответственно, формирование индивидуальных учебных планов. </w:t>
      </w:r>
      <w:r w:rsidR="00F77DEE" w:rsidRPr="00A21C7E">
        <w:rPr>
          <w:rFonts w:ascii="Times New Roman" w:hAnsi="Times New Roman" w:cs="Times New Roman"/>
          <w:sz w:val="28"/>
          <w:szCs w:val="28"/>
        </w:rPr>
        <w:t xml:space="preserve">Координируют данную работу </w:t>
      </w:r>
      <w:proofErr w:type="spellStart"/>
      <w:proofErr w:type="gramStart"/>
      <w:r w:rsidR="00F77DEE" w:rsidRPr="00A21C7E">
        <w:rPr>
          <w:rFonts w:ascii="Times New Roman" w:hAnsi="Times New Roman" w:cs="Times New Roman"/>
          <w:sz w:val="28"/>
          <w:szCs w:val="28"/>
        </w:rPr>
        <w:t>эдвайзеры</w:t>
      </w:r>
      <w:proofErr w:type="spellEnd"/>
      <w:r w:rsidR="00F77DEE" w:rsidRPr="00A21C7E">
        <w:rPr>
          <w:rFonts w:ascii="Times New Roman" w:hAnsi="Times New Roman" w:cs="Times New Roman"/>
          <w:sz w:val="28"/>
          <w:szCs w:val="28"/>
        </w:rPr>
        <w:t xml:space="preserve">  академических</w:t>
      </w:r>
      <w:proofErr w:type="gramEnd"/>
      <w:r w:rsidR="00F77DEE" w:rsidRPr="00A21C7E">
        <w:rPr>
          <w:rFonts w:ascii="Times New Roman" w:hAnsi="Times New Roman" w:cs="Times New Roman"/>
          <w:sz w:val="28"/>
          <w:szCs w:val="28"/>
        </w:rPr>
        <w:t xml:space="preserve"> групп и методисты Офиса Регистратора. </w:t>
      </w:r>
      <w:r w:rsidRPr="00A21C7E">
        <w:rPr>
          <w:rFonts w:ascii="Times New Roman" w:hAnsi="Times New Roman" w:cs="Times New Roman"/>
          <w:sz w:val="28"/>
          <w:szCs w:val="28"/>
        </w:rPr>
        <w:t xml:space="preserve">Формирование индивидуальных учебных планов осуществляется </w:t>
      </w:r>
      <w:r w:rsidR="00F77DEE" w:rsidRPr="00A21C7E">
        <w:rPr>
          <w:rFonts w:ascii="Times New Roman" w:hAnsi="Times New Roman" w:cs="Times New Roman"/>
          <w:sz w:val="28"/>
          <w:szCs w:val="28"/>
        </w:rPr>
        <w:t xml:space="preserve">методистами отдела организации и планирования учебного процесса </w:t>
      </w:r>
      <w:r w:rsidRPr="00A21C7E">
        <w:rPr>
          <w:rFonts w:ascii="Times New Roman" w:hAnsi="Times New Roman" w:cs="Times New Roman"/>
          <w:sz w:val="28"/>
          <w:szCs w:val="28"/>
        </w:rPr>
        <w:t xml:space="preserve">в АИС </w:t>
      </w:r>
      <w:proofErr w:type="spellStart"/>
      <w:r w:rsidRPr="00A21C7E"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="00F77DEE" w:rsidRPr="00A21C7E">
        <w:rPr>
          <w:rFonts w:ascii="Times New Roman" w:hAnsi="Times New Roman" w:cs="Times New Roman"/>
          <w:sz w:val="28"/>
          <w:szCs w:val="28"/>
        </w:rPr>
        <w:t xml:space="preserve"> с последующей выгрузкой для </w:t>
      </w:r>
      <w:proofErr w:type="gramStart"/>
      <w:r w:rsidR="00F77DEE" w:rsidRPr="00A21C7E">
        <w:rPr>
          <w:rFonts w:ascii="Times New Roman" w:hAnsi="Times New Roman" w:cs="Times New Roman"/>
          <w:sz w:val="28"/>
          <w:szCs w:val="28"/>
        </w:rPr>
        <w:t>утверждения.</w:t>
      </w:r>
      <w:r w:rsidRPr="00A21C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1C7E">
        <w:rPr>
          <w:rFonts w:ascii="Times New Roman" w:hAnsi="Times New Roman" w:cs="Times New Roman"/>
          <w:sz w:val="28"/>
          <w:szCs w:val="28"/>
        </w:rPr>
        <w:t xml:space="preserve"> На данный момент процедура разработки рабочих учебных планов на 202</w:t>
      </w:r>
      <w:r w:rsidR="009C03D4" w:rsidRPr="00A21C7E">
        <w:rPr>
          <w:rFonts w:ascii="Times New Roman" w:hAnsi="Times New Roman" w:cs="Times New Roman"/>
          <w:sz w:val="28"/>
          <w:szCs w:val="28"/>
        </w:rPr>
        <w:t>3</w:t>
      </w:r>
      <w:r w:rsidRPr="00A21C7E">
        <w:rPr>
          <w:rFonts w:ascii="Times New Roman" w:hAnsi="Times New Roman" w:cs="Times New Roman"/>
          <w:sz w:val="28"/>
          <w:szCs w:val="28"/>
        </w:rPr>
        <w:t>-202</w:t>
      </w:r>
      <w:r w:rsidR="009C03D4" w:rsidRPr="00A21C7E">
        <w:rPr>
          <w:rFonts w:ascii="Times New Roman" w:hAnsi="Times New Roman" w:cs="Times New Roman"/>
          <w:sz w:val="28"/>
          <w:szCs w:val="28"/>
        </w:rPr>
        <w:t>4</w:t>
      </w:r>
      <w:r w:rsidRPr="00A21C7E">
        <w:rPr>
          <w:rFonts w:ascii="Times New Roman" w:hAnsi="Times New Roman" w:cs="Times New Roman"/>
          <w:sz w:val="28"/>
          <w:szCs w:val="28"/>
        </w:rPr>
        <w:t xml:space="preserve"> учебный год в разрезе образовательных программ, уровней обучения и</w:t>
      </w:r>
      <w:r w:rsidR="00D4575C" w:rsidRPr="00A21C7E">
        <w:rPr>
          <w:rFonts w:ascii="Times New Roman" w:hAnsi="Times New Roman" w:cs="Times New Roman"/>
          <w:sz w:val="28"/>
          <w:szCs w:val="28"/>
        </w:rPr>
        <w:t xml:space="preserve"> академических групп, завершена и готова к утверждению.</w:t>
      </w:r>
      <w:r w:rsidRPr="00A21C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2F2B33" w14:textId="77777777" w:rsidR="00A20430" w:rsidRPr="00A21C7E" w:rsidRDefault="00A20430" w:rsidP="00D457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991666" w14:textId="77777777" w:rsidR="00A20430" w:rsidRPr="00A21C7E" w:rsidRDefault="00A20430" w:rsidP="00D457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C7E">
        <w:rPr>
          <w:rFonts w:ascii="Times New Roman" w:hAnsi="Times New Roman" w:cs="Times New Roman"/>
          <w:b/>
          <w:sz w:val="28"/>
          <w:szCs w:val="28"/>
        </w:rPr>
        <w:t>Положение о планировании учебной работы и педагогической нагрузки ППС на 202</w:t>
      </w:r>
      <w:r w:rsidR="009C03D4" w:rsidRPr="00A21C7E">
        <w:rPr>
          <w:rFonts w:ascii="Times New Roman" w:hAnsi="Times New Roman" w:cs="Times New Roman"/>
          <w:b/>
          <w:sz w:val="28"/>
          <w:szCs w:val="28"/>
        </w:rPr>
        <w:t>3</w:t>
      </w:r>
      <w:r w:rsidRPr="00A21C7E">
        <w:rPr>
          <w:rFonts w:ascii="Times New Roman" w:hAnsi="Times New Roman" w:cs="Times New Roman"/>
          <w:b/>
          <w:sz w:val="28"/>
          <w:szCs w:val="28"/>
        </w:rPr>
        <w:t>-202</w:t>
      </w:r>
      <w:r w:rsidR="009C03D4" w:rsidRPr="00A21C7E">
        <w:rPr>
          <w:rFonts w:ascii="Times New Roman" w:hAnsi="Times New Roman" w:cs="Times New Roman"/>
          <w:b/>
          <w:sz w:val="28"/>
          <w:szCs w:val="28"/>
        </w:rPr>
        <w:t>4</w:t>
      </w:r>
      <w:r w:rsidRPr="00A21C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6FD1CD9" w14:textId="77777777" w:rsidR="00A20430" w:rsidRPr="00A21C7E" w:rsidRDefault="00A20430" w:rsidP="00D457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4889D9" w14:textId="77777777" w:rsidR="00F77DEE" w:rsidRPr="00A21C7E" w:rsidRDefault="00A20430" w:rsidP="00F77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hAnsi="Times New Roman" w:cs="Times New Roman"/>
          <w:sz w:val="28"/>
          <w:szCs w:val="28"/>
        </w:rPr>
        <w:t>Данное положение пересматривается ежегодно с учетом изменений в планировании и организации учебного процесса, внесения изменений в нормативно-правовые акты в сфере высшего и послевузовского образования.</w:t>
      </w:r>
      <w:r w:rsidR="00F77DEE" w:rsidRPr="00A21C7E">
        <w:rPr>
          <w:rFonts w:ascii="Times New Roman" w:hAnsi="Times New Roman" w:cs="Times New Roman"/>
          <w:sz w:val="28"/>
          <w:szCs w:val="28"/>
        </w:rPr>
        <w:t xml:space="preserve"> </w:t>
      </w:r>
      <w:r w:rsidR="00693864" w:rsidRPr="00A21C7E">
        <w:rPr>
          <w:rFonts w:ascii="Times New Roman" w:hAnsi="Times New Roman" w:cs="Times New Roman"/>
          <w:sz w:val="28"/>
          <w:szCs w:val="28"/>
        </w:rPr>
        <w:t>Нормы расчета учебной нагрузки, в целом, сохранены на уровне норм, действовавших при расчете учебной нагрузки 202</w:t>
      </w:r>
      <w:r w:rsidR="00CD6CA1" w:rsidRPr="00A21C7E">
        <w:rPr>
          <w:rFonts w:ascii="Times New Roman" w:hAnsi="Times New Roman" w:cs="Times New Roman"/>
          <w:sz w:val="28"/>
          <w:szCs w:val="28"/>
        </w:rPr>
        <w:t>2</w:t>
      </w:r>
      <w:r w:rsidR="00693864" w:rsidRPr="00A21C7E">
        <w:rPr>
          <w:rFonts w:ascii="Times New Roman" w:hAnsi="Times New Roman" w:cs="Times New Roman"/>
          <w:sz w:val="28"/>
          <w:szCs w:val="28"/>
        </w:rPr>
        <w:t>-202</w:t>
      </w:r>
      <w:r w:rsidR="00CD6CA1" w:rsidRPr="00A21C7E">
        <w:rPr>
          <w:rFonts w:ascii="Times New Roman" w:hAnsi="Times New Roman" w:cs="Times New Roman"/>
          <w:sz w:val="28"/>
          <w:szCs w:val="28"/>
        </w:rPr>
        <w:t>3</w:t>
      </w:r>
      <w:r w:rsidR="00693864" w:rsidRPr="00A21C7E">
        <w:rPr>
          <w:rFonts w:ascii="Times New Roman" w:hAnsi="Times New Roman" w:cs="Times New Roman"/>
          <w:sz w:val="28"/>
          <w:szCs w:val="28"/>
        </w:rPr>
        <w:t xml:space="preserve"> учебного года. </w:t>
      </w:r>
      <w:r w:rsidR="00F77DEE" w:rsidRPr="00A21C7E">
        <w:rPr>
          <w:rFonts w:ascii="Times New Roman" w:hAnsi="Times New Roman" w:cs="Times New Roman"/>
          <w:sz w:val="28"/>
          <w:szCs w:val="28"/>
        </w:rPr>
        <w:t>Изменения в планировании представлены в Проекте Положения, а именно:</w:t>
      </w:r>
    </w:p>
    <w:p w14:paraId="24DD1B95" w14:textId="77777777" w:rsidR="00F77DEE" w:rsidRPr="00A21C7E" w:rsidRDefault="00F77DEE" w:rsidP="00F77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hAnsi="Times New Roman" w:cs="Times New Roman"/>
          <w:sz w:val="28"/>
          <w:szCs w:val="28"/>
        </w:rPr>
        <w:t>- Планирование и расчет учебной нагрузки военной кафедры;</w:t>
      </w:r>
    </w:p>
    <w:p w14:paraId="5177DD1F" w14:textId="77777777" w:rsidR="00F77DEE" w:rsidRPr="00A21C7E" w:rsidRDefault="00F77DEE" w:rsidP="00F77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hAnsi="Times New Roman" w:cs="Times New Roman"/>
          <w:sz w:val="28"/>
          <w:szCs w:val="28"/>
        </w:rPr>
        <w:t xml:space="preserve">- Сокращен перечень дисциплин, </w:t>
      </w:r>
      <w:proofErr w:type="spellStart"/>
      <w:r w:rsidRPr="00A21C7E">
        <w:rPr>
          <w:rFonts w:ascii="Times New Roman" w:hAnsi="Times New Roman" w:cs="Times New Roman"/>
          <w:sz w:val="28"/>
          <w:szCs w:val="28"/>
        </w:rPr>
        <w:t>преподваемых</w:t>
      </w:r>
      <w:proofErr w:type="spellEnd"/>
      <w:r w:rsidRPr="00A21C7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21C7E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Pr="00A21C7E">
        <w:rPr>
          <w:rFonts w:ascii="Times New Roman" w:hAnsi="Times New Roman" w:cs="Times New Roman"/>
          <w:sz w:val="28"/>
          <w:szCs w:val="28"/>
        </w:rPr>
        <w:t xml:space="preserve"> формате;</w:t>
      </w:r>
    </w:p>
    <w:p w14:paraId="7E6ADEBA" w14:textId="77777777" w:rsidR="00F77DEE" w:rsidRPr="00A21C7E" w:rsidRDefault="00F77DEE" w:rsidP="00F77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hAnsi="Times New Roman" w:cs="Times New Roman"/>
          <w:sz w:val="28"/>
          <w:szCs w:val="28"/>
        </w:rPr>
        <w:t xml:space="preserve">- Уменьшено количество обучающихся в </w:t>
      </w:r>
      <w:proofErr w:type="gramStart"/>
      <w:r w:rsidRPr="00A21C7E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Pr="00A21C7E">
        <w:rPr>
          <w:rFonts w:ascii="Times New Roman" w:hAnsi="Times New Roman" w:cs="Times New Roman"/>
          <w:sz w:val="28"/>
          <w:szCs w:val="28"/>
        </w:rPr>
        <w:t xml:space="preserve"> потоках,</w:t>
      </w:r>
    </w:p>
    <w:p w14:paraId="64EF780F" w14:textId="77777777" w:rsidR="00F77DEE" w:rsidRPr="00A21C7E" w:rsidRDefault="00F77DEE" w:rsidP="00F77DE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7E">
        <w:rPr>
          <w:rFonts w:ascii="Times New Roman" w:hAnsi="Times New Roman" w:cs="Times New Roman"/>
          <w:sz w:val="28"/>
          <w:szCs w:val="28"/>
        </w:rPr>
        <w:t>-  Занятия по дисциплине «Физическая культура» проводятся вне учебного расписания   на базе СК «</w:t>
      </w:r>
      <w:r w:rsidRPr="00A21C7E">
        <w:rPr>
          <w:rFonts w:ascii="Times New Roman" w:hAnsi="Times New Roman" w:cs="Times New Roman"/>
          <w:sz w:val="28"/>
          <w:szCs w:val="28"/>
          <w:lang w:val="kk-KZ"/>
        </w:rPr>
        <w:t>Сұңқар»;</w:t>
      </w:r>
    </w:p>
    <w:p w14:paraId="51DDC644" w14:textId="77777777" w:rsidR="000D4946" w:rsidRPr="00A21C7E" w:rsidRDefault="00F77DEE" w:rsidP="000D49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7E">
        <w:rPr>
          <w:rFonts w:ascii="Times New Roman" w:hAnsi="Times New Roman" w:cs="Times New Roman"/>
          <w:sz w:val="28"/>
          <w:szCs w:val="28"/>
          <w:lang w:val="kk-KZ"/>
        </w:rPr>
        <w:t>- пересмотрены нормы планирования профессиональной практики, НИРМ</w:t>
      </w:r>
      <w:r w:rsidR="000D4946" w:rsidRPr="00A21C7E">
        <w:rPr>
          <w:rFonts w:ascii="Times New Roman" w:hAnsi="Times New Roman" w:cs="Times New Roman"/>
          <w:sz w:val="28"/>
          <w:szCs w:val="28"/>
          <w:lang w:val="kk-KZ"/>
        </w:rPr>
        <w:t xml:space="preserve"> (ЭИРМ), ИА;</w:t>
      </w:r>
    </w:p>
    <w:p w14:paraId="440C1158" w14:textId="77777777" w:rsidR="000D4946" w:rsidRPr="00A21C7E" w:rsidRDefault="000D4946" w:rsidP="000D49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7E">
        <w:rPr>
          <w:rFonts w:ascii="Times New Roman" w:hAnsi="Times New Roman" w:cs="Times New Roman"/>
          <w:sz w:val="28"/>
          <w:szCs w:val="28"/>
          <w:lang w:val="kk-KZ"/>
        </w:rPr>
        <w:t>- увеличены часы за руководство дипломные работами и магистерскими диссертациями,</w:t>
      </w:r>
    </w:p>
    <w:p w14:paraId="1E02335D" w14:textId="77777777" w:rsidR="000D4946" w:rsidRPr="00A21C7E" w:rsidRDefault="000D4946" w:rsidP="000D49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7E">
        <w:rPr>
          <w:rFonts w:ascii="Times New Roman" w:hAnsi="Times New Roman" w:cs="Times New Roman"/>
          <w:sz w:val="28"/>
          <w:szCs w:val="28"/>
          <w:lang w:val="kk-KZ"/>
        </w:rPr>
        <w:t>- добавлены требования к руководству магистерскими и докторскими диссертациями и требования к преподавыателям –практикам;</w:t>
      </w:r>
    </w:p>
    <w:p w14:paraId="55793AD2" w14:textId="77777777" w:rsidR="00D16808" w:rsidRPr="00A21C7E" w:rsidRDefault="00D16808" w:rsidP="000D49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7E">
        <w:rPr>
          <w:rFonts w:ascii="Times New Roman" w:hAnsi="Times New Roman" w:cs="Times New Roman"/>
          <w:sz w:val="28"/>
          <w:szCs w:val="28"/>
          <w:lang w:val="kk-KZ"/>
        </w:rPr>
        <w:t xml:space="preserve">- заведующим кафедрами </w:t>
      </w:r>
      <w:r w:rsidR="00202E0C" w:rsidRPr="00A21C7E">
        <w:rPr>
          <w:rFonts w:ascii="Times New Roman" w:hAnsi="Times New Roman" w:cs="Times New Roman"/>
          <w:sz w:val="28"/>
          <w:szCs w:val="28"/>
          <w:lang w:val="kk-KZ"/>
        </w:rPr>
        <w:t>снижена учебная нагрузка на 25% от средней учебной нагрузки ППС;</w:t>
      </w:r>
    </w:p>
    <w:p w14:paraId="26D2616F" w14:textId="77777777" w:rsidR="000D4946" w:rsidRPr="00A21C7E" w:rsidRDefault="000D4946" w:rsidP="000D49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C7E">
        <w:rPr>
          <w:rFonts w:ascii="Times New Roman" w:hAnsi="Times New Roman" w:cs="Times New Roman"/>
          <w:sz w:val="28"/>
          <w:szCs w:val="28"/>
          <w:lang w:val="kk-KZ"/>
        </w:rPr>
        <w:t>- разработано Приложение «Показатели педагогической нагрузки ППС».</w:t>
      </w:r>
    </w:p>
    <w:p w14:paraId="6FF09C50" w14:textId="77777777" w:rsidR="00A20430" w:rsidRPr="00A21C7E" w:rsidRDefault="00F77DEE" w:rsidP="00F77D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hAnsi="Times New Roman" w:cs="Times New Roman"/>
          <w:sz w:val="28"/>
          <w:szCs w:val="28"/>
        </w:rPr>
        <w:t>Управление по академической деятельности провело разъяснительную работу с заведующими кафедрами</w:t>
      </w:r>
      <w:r w:rsidR="000D4946" w:rsidRPr="00A21C7E">
        <w:rPr>
          <w:rFonts w:ascii="Times New Roman" w:hAnsi="Times New Roman" w:cs="Times New Roman"/>
          <w:sz w:val="28"/>
          <w:szCs w:val="28"/>
        </w:rPr>
        <w:t xml:space="preserve"> институтов.</w:t>
      </w:r>
    </w:p>
    <w:p w14:paraId="7CA9A3B7" w14:textId="77777777" w:rsidR="00A20430" w:rsidRPr="00A21C7E" w:rsidRDefault="00A20430" w:rsidP="00A204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FAB106" w14:textId="77777777" w:rsidR="00A20430" w:rsidRPr="00A21C7E" w:rsidRDefault="00A20430" w:rsidP="00A204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65EB4D" w14:textId="77777777" w:rsidR="00A20430" w:rsidRPr="00A21C7E" w:rsidRDefault="00CD6CA1" w:rsidP="00A20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C7E">
        <w:rPr>
          <w:rFonts w:ascii="Times New Roman" w:hAnsi="Times New Roman" w:cs="Times New Roman"/>
          <w:sz w:val="28"/>
          <w:szCs w:val="28"/>
        </w:rPr>
        <w:t>Начальник УАД</w:t>
      </w:r>
      <w:r w:rsidR="00A20430" w:rsidRPr="00A21C7E">
        <w:rPr>
          <w:rFonts w:ascii="Times New Roman" w:hAnsi="Times New Roman" w:cs="Times New Roman"/>
          <w:sz w:val="28"/>
          <w:szCs w:val="28"/>
        </w:rPr>
        <w:t xml:space="preserve"> </w:t>
      </w:r>
      <w:r w:rsidR="00A20430" w:rsidRPr="00A21C7E">
        <w:rPr>
          <w:rFonts w:ascii="Times New Roman" w:hAnsi="Times New Roman" w:cs="Times New Roman"/>
          <w:sz w:val="28"/>
          <w:szCs w:val="28"/>
        </w:rPr>
        <w:tab/>
      </w:r>
      <w:r w:rsidR="00A20430" w:rsidRPr="00A21C7E">
        <w:rPr>
          <w:rFonts w:ascii="Times New Roman" w:hAnsi="Times New Roman" w:cs="Times New Roman"/>
          <w:sz w:val="28"/>
          <w:szCs w:val="28"/>
        </w:rPr>
        <w:tab/>
      </w:r>
      <w:r w:rsidR="00A20430" w:rsidRPr="00A21C7E">
        <w:rPr>
          <w:rFonts w:ascii="Times New Roman" w:hAnsi="Times New Roman" w:cs="Times New Roman"/>
          <w:sz w:val="28"/>
          <w:szCs w:val="28"/>
        </w:rPr>
        <w:tab/>
      </w:r>
      <w:r w:rsidR="00A20430" w:rsidRPr="00A21C7E">
        <w:rPr>
          <w:rFonts w:ascii="Times New Roman" w:hAnsi="Times New Roman" w:cs="Times New Roman"/>
          <w:sz w:val="28"/>
          <w:szCs w:val="28"/>
        </w:rPr>
        <w:tab/>
      </w:r>
      <w:r w:rsidR="00A20430" w:rsidRPr="00A21C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1C7E">
        <w:rPr>
          <w:rFonts w:ascii="Times New Roman" w:hAnsi="Times New Roman" w:cs="Times New Roman"/>
          <w:sz w:val="28"/>
          <w:szCs w:val="28"/>
        </w:rPr>
        <w:t>Э.Наурызбаева</w:t>
      </w:r>
      <w:proofErr w:type="spellEnd"/>
    </w:p>
    <w:sectPr w:rsidR="00A20430" w:rsidRPr="00A21C7E" w:rsidSect="003006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961B0"/>
    <w:multiLevelType w:val="hybridMultilevel"/>
    <w:tmpl w:val="AAAC25B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EDB13EA"/>
    <w:multiLevelType w:val="hybridMultilevel"/>
    <w:tmpl w:val="75F828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30"/>
    <w:rsid w:val="00026F5B"/>
    <w:rsid w:val="000468D4"/>
    <w:rsid w:val="000D4946"/>
    <w:rsid w:val="00202E0C"/>
    <w:rsid w:val="00300660"/>
    <w:rsid w:val="003E2EBF"/>
    <w:rsid w:val="00693864"/>
    <w:rsid w:val="007741FB"/>
    <w:rsid w:val="009C03D4"/>
    <w:rsid w:val="009C5139"/>
    <w:rsid w:val="00A20430"/>
    <w:rsid w:val="00A21C7E"/>
    <w:rsid w:val="00AC2242"/>
    <w:rsid w:val="00BD42D6"/>
    <w:rsid w:val="00C15539"/>
    <w:rsid w:val="00CD6CA1"/>
    <w:rsid w:val="00D16808"/>
    <w:rsid w:val="00D4575C"/>
    <w:rsid w:val="00D57F9C"/>
    <w:rsid w:val="00DB4112"/>
    <w:rsid w:val="00E32209"/>
    <w:rsid w:val="00E90631"/>
    <w:rsid w:val="00F7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3E9B"/>
  <w15:docId w15:val="{F9C77E76-74CB-4B94-8728-3D2F8D74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43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430"/>
    <w:pPr>
      <w:spacing w:after="0" w:line="240" w:lineRule="auto"/>
    </w:pPr>
  </w:style>
  <w:style w:type="paragraph" w:styleId="a4">
    <w:name w:val="List Paragraph"/>
    <w:aliases w:val="Раздел,маркированный,без абзаца,List Paragraph,2 список маркированный,Стандартный,Heading1,Colorful List - Accent 11,Colorful List - Accent 11CxSpLast,H1-1,Заголовок3,Bullet 1,Use Case List Paragraph,Абзац списка2"/>
    <w:basedOn w:val="a"/>
    <w:link w:val="a5"/>
    <w:uiPriority w:val="34"/>
    <w:qFormat/>
    <w:rsid w:val="00A20430"/>
    <w:pPr>
      <w:ind w:left="720"/>
      <w:contextualSpacing/>
    </w:pPr>
  </w:style>
  <w:style w:type="character" w:customStyle="1" w:styleId="a5">
    <w:name w:val="Абзац списка Знак"/>
    <w:aliases w:val="Раздел Знак,маркированный Знак,без абзаца Знак,List Paragraph Знак,2 список маркированный Знак,Стандартный Знак,Heading1 Знак,Colorful List - Accent 11 Знак,Colorful List - Accent 11CxSpLast Знак,H1-1 Знак,Заголовок3 Знак,Bullet 1 Знак"/>
    <w:link w:val="a4"/>
    <w:uiPriority w:val="34"/>
    <w:locked/>
    <w:rsid w:val="00D4575C"/>
    <w:rPr>
      <w:rFonts w:ascii="Segoe UI" w:eastAsia="Calibri" w:hAnsi="Segoe UI" w:cs="Segoe U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KRU-3-315</cp:lastModifiedBy>
  <cp:revision>4</cp:revision>
  <cp:lastPrinted>2023-06-02T05:20:00Z</cp:lastPrinted>
  <dcterms:created xsi:type="dcterms:W3CDTF">2023-05-30T04:35:00Z</dcterms:created>
  <dcterms:modified xsi:type="dcterms:W3CDTF">2023-06-02T05:20:00Z</dcterms:modified>
</cp:coreProperties>
</file>