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C4848" w14:textId="77777777" w:rsidR="00720D7B" w:rsidRPr="0028141E" w:rsidRDefault="00720D7B" w:rsidP="00720D7B">
      <w:pPr>
        <w:jc w:val="center"/>
        <w:rPr>
          <w:color w:val="000000"/>
          <w:sz w:val="28"/>
          <w:szCs w:val="28"/>
          <w:lang w:val="kk-KZ" w:eastAsia="ru-RU"/>
        </w:rPr>
      </w:pPr>
    </w:p>
    <w:tbl>
      <w:tblPr>
        <w:tblW w:w="5000" w:type="pct"/>
        <w:tblCellMar>
          <w:left w:w="0" w:type="dxa"/>
          <w:right w:w="0" w:type="dxa"/>
        </w:tblCellMar>
        <w:tblLook w:val="00A0" w:firstRow="1" w:lastRow="0" w:firstColumn="1" w:lastColumn="0" w:noHBand="0" w:noVBand="0"/>
      </w:tblPr>
      <w:tblGrid>
        <w:gridCol w:w="4677"/>
        <w:gridCol w:w="4678"/>
      </w:tblGrid>
      <w:tr w:rsidR="00720D7B" w:rsidRPr="00720D7B" w14:paraId="10981F36" w14:textId="77777777" w:rsidTr="00812CE7">
        <w:tc>
          <w:tcPr>
            <w:tcW w:w="2500" w:type="pct"/>
            <w:tcMar>
              <w:top w:w="0" w:type="dxa"/>
              <w:left w:w="108" w:type="dxa"/>
              <w:bottom w:w="0" w:type="dxa"/>
              <w:right w:w="108" w:type="dxa"/>
            </w:tcMar>
          </w:tcPr>
          <w:p w14:paraId="2F2DB212" w14:textId="77777777" w:rsidR="00720D7B" w:rsidRPr="0028141E" w:rsidRDefault="00720D7B" w:rsidP="00B90704">
            <w:pPr>
              <w:pStyle w:val="a3"/>
              <w:spacing w:after="0"/>
              <w:ind w:left="0"/>
              <w:jc w:val="center"/>
              <w:rPr>
                <w:color w:val="000000"/>
                <w:sz w:val="28"/>
                <w:szCs w:val="28"/>
                <w:lang w:val="kk-KZ"/>
              </w:rPr>
            </w:pPr>
            <w:r w:rsidRPr="0028141E">
              <w:rPr>
                <w:color w:val="000000"/>
                <w:sz w:val="28"/>
                <w:szCs w:val="28"/>
                <w:lang w:val="kk-KZ"/>
              </w:rPr>
              <w:t>«А.Байтұрсынов атындағы</w:t>
            </w:r>
          </w:p>
          <w:p w14:paraId="07153410" w14:textId="31F6090F" w:rsidR="00720D7B" w:rsidRPr="0028141E" w:rsidRDefault="00720D7B" w:rsidP="00B90704">
            <w:pPr>
              <w:pStyle w:val="a3"/>
              <w:spacing w:after="0"/>
              <w:ind w:left="0"/>
              <w:jc w:val="center"/>
              <w:rPr>
                <w:color w:val="000000"/>
                <w:sz w:val="28"/>
                <w:szCs w:val="28"/>
                <w:lang w:val="kk-KZ"/>
              </w:rPr>
            </w:pPr>
            <w:r w:rsidRPr="0028141E">
              <w:rPr>
                <w:color w:val="000000"/>
                <w:sz w:val="28"/>
                <w:szCs w:val="28"/>
                <w:lang w:val="kk-KZ"/>
              </w:rPr>
              <w:t xml:space="preserve">Қостанай </w:t>
            </w:r>
            <w:r w:rsidRPr="00720D7B">
              <w:rPr>
                <w:color w:val="000000"/>
                <w:sz w:val="28"/>
                <w:szCs w:val="28"/>
                <w:lang w:val="kk-KZ"/>
              </w:rPr>
              <w:t>өңірлік</w:t>
            </w:r>
          </w:p>
          <w:p w14:paraId="537AF3EC" w14:textId="77777777" w:rsidR="00720D7B" w:rsidRPr="008B31FD" w:rsidRDefault="00720D7B" w:rsidP="00B90704">
            <w:pPr>
              <w:pStyle w:val="a3"/>
              <w:spacing w:after="0"/>
              <w:ind w:left="0"/>
              <w:jc w:val="center"/>
              <w:rPr>
                <w:color w:val="000000"/>
                <w:sz w:val="28"/>
                <w:szCs w:val="28"/>
                <w:lang w:val="kk-KZ"/>
              </w:rPr>
            </w:pPr>
            <w:r w:rsidRPr="0028141E">
              <w:rPr>
                <w:color w:val="000000"/>
                <w:sz w:val="28"/>
                <w:szCs w:val="28"/>
                <w:lang w:val="kk-KZ"/>
              </w:rPr>
              <w:t>университеті» К</w:t>
            </w:r>
            <w:r w:rsidR="00413415" w:rsidRPr="008B31FD">
              <w:rPr>
                <w:color w:val="000000"/>
                <w:sz w:val="28"/>
                <w:szCs w:val="28"/>
                <w:lang w:val="kk-KZ"/>
              </w:rPr>
              <w:t>Е</w:t>
            </w:r>
            <w:r w:rsidRPr="008B31FD">
              <w:rPr>
                <w:color w:val="000000"/>
                <w:sz w:val="28"/>
                <w:szCs w:val="28"/>
                <w:lang w:val="kk-KZ"/>
              </w:rPr>
              <w:t>А</w:t>
            </w:r>
            <w:r w:rsidRPr="0028141E">
              <w:rPr>
                <w:color w:val="000000"/>
                <w:sz w:val="28"/>
                <w:szCs w:val="28"/>
                <w:lang w:val="kk-KZ"/>
              </w:rPr>
              <w:t>Қ</w:t>
            </w:r>
          </w:p>
        </w:tc>
        <w:tc>
          <w:tcPr>
            <w:tcW w:w="2500" w:type="pct"/>
            <w:tcMar>
              <w:top w:w="0" w:type="dxa"/>
              <w:left w:w="108" w:type="dxa"/>
              <w:bottom w:w="0" w:type="dxa"/>
              <w:right w:w="108" w:type="dxa"/>
            </w:tcMar>
          </w:tcPr>
          <w:p w14:paraId="2EEC81B9" w14:textId="46C66568" w:rsidR="00720D7B" w:rsidRPr="00720D7B" w:rsidRDefault="00720D7B" w:rsidP="00B90704">
            <w:pPr>
              <w:pStyle w:val="a3"/>
              <w:spacing w:after="0"/>
              <w:ind w:left="0"/>
              <w:jc w:val="center"/>
              <w:rPr>
                <w:color w:val="000000"/>
                <w:sz w:val="28"/>
                <w:szCs w:val="28"/>
                <w:lang w:val="kk-KZ"/>
              </w:rPr>
            </w:pPr>
            <w:r w:rsidRPr="00720D7B">
              <w:rPr>
                <w:color w:val="000000"/>
                <w:sz w:val="28"/>
                <w:szCs w:val="28"/>
                <w:lang w:val="kk-KZ"/>
              </w:rPr>
              <w:t>НАО «Костанайский</w:t>
            </w:r>
          </w:p>
          <w:p w14:paraId="423959A5" w14:textId="442D2245" w:rsidR="00720D7B" w:rsidRPr="00720D7B" w:rsidRDefault="00720D7B" w:rsidP="00B90704">
            <w:pPr>
              <w:pStyle w:val="a3"/>
              <w:spacing w:after="0"/>
              <w:ind w:left="0"/>
              <w:jc w:val="center"/>
              <w:rPr>
                <w:color w:val="000000"/>
                <w:sz w:val="28"/>
                <w:szCs w:val="28"/>
                <w:lang w:val="kk-KZ"/>
              </w:rPr>
            </w:pPr>
            <w:r w:rsidRPr="00720D7B">
              <w:rPr>
                <w:color w:val="000000"/>
                <w:sz w:val="28"/>
                <w:szCs w:val="28"/>
                <w:lang w:val="kk-KZ"/>
              </w:rPr>
              <w:t>региональный</w:t>
            </w:r>
          </w:p>
          <w:p w14:paraId="2D30D4B3" w14:textId="12888297" w:rsidR="00720D7B" w:rsidRPr="00720D7B" w:rsidRDefault="00720D7B" w:rsidP="00B90704">
            <w:pPr>
              <w:pStyle w:val="a3"/>
              <w:spacing w:after="0"/>
              <w:ind w:left="0"/>
              <w:jc w:val="center"/>
              <w:rPr>
                <w:color w:val="000000"/>
                <w:sz w:val="28"/>
                <w:szCs w:val="28"/>
                <w:lang w:val="kk-KZ"/>
              </w:rPr>
            </w:pPr>
            <w:r w:rsidRPr="00720D7B">
              <w:rPr>
                <w:color w:val="000000"/>
                <w:sz w:val="28"/>
                <w:szCs w:val="28"/>
                <w:lang w:val="kk-KZ"/>
              </w:rPr>
              <w:t>университет</w:t>
            </w:r>
          </w:p>
          <w:p w14:paraId="455CB4FD" w14:textId="77777777" w:rsidR="00720D7B" w:rsidRPr="0028141E" w:rsidRDefault="00720D7B" w:rsidP="00B90704">
            <w:pPr>
              <w:pStyle w:val="a3"/>
              <w:spacing w:after="0"/>
              <w:ind w:left="0"/>
              <w:jc w:val="center"/>
              <w:rPr>
                <w:color w:val="000000"/>
                <w:sz w:val="28"/>
                <w:szCs w:val="28"/>
                <w:lang w:val="kk-KZ"/>
              </w:rPr>
            </w:pPr>
            <w:r w:rsidRPr="00720D7B">
              <w:rPr>
                <w:color w:val="000000"/>
                <w:sz w:val="28"/>
                <w:szCs w:val="28"/>
                <w:lang w:val="kk-KZ"/>
              </w:rPr>
              <w:t>им. А.Байтурсынова»</w:t>
            </w:r>
          </w:p>
        </w:tc>
      </w:tr>
      <w:tr w:rsidR="00720D7B" w:rsidRPr="0028141E" w14:paraId="53784B3C" w14:textId="77777777" w:rsidTr="00812CE7">
        <w:tc>
          <w:tcPr>
            <w:tcW w:w="2500" w:type="pct"/>
            <w:tcMar>
              <w:top w:w="0" w:type="dxa"/>
              <w:left w:w="108" w:type="dxa"/>
              <w:bottom w:w="0" w:type="dxa"/>
              <w:right w:w="108" w:type="dxa"/>
            </w:tcMar>
          </w:tcPr>
          <w:p w14:paraId="36F2112A" w14:textId="1A06A650" w:rsidR="00720D7B" w:rsidRPr="0028141E" w:rsidRDefault="00720D7B" w:rsidP="00B90704">
            <w:pPr>
              <w:pStyle w:val="a3"/>
              <w:jc w:val="center"/>
              <w:rPr>
                <w:b/>
                <w:color w:val="000000"/>
                <w:sz w:val="28"/>
                <w:szCs w:val="28"/>
              </w:rPr>
            </w:pPr>
          </w:p>
        </w:tc>
        <w:tc>
          <w:tcPr>
            <w:tcW w:w="2500" w:type="pct"/>
            <w:tcMar>
              <w:top w:w="0" w:type="dxa"/>
              <w:left w:w="108" w:type="dxa"/>
              <w:bottom w:w="0" w:type="dxa"/>
              <w:right w:w="108" w:type="dxa"/>
            </w:tcMar>
          </w:tcPr>
          <w:p w14:paraId="7F895B16" w14:textId="0C26FB2C" w:rsidR="00720D7B" w:rsidRPr="0028141E" w:rsidRDefault="00720D7B" w:rsidP="00B90704">
            <w:pPr>
              <w:pStyle w:val="a3"/>
              <w:ind w:left="1027" w:firstLine="283"/>
              <w:jc w:val="center"/>
              <w:rPr>
                <w:b/>
                <w:color w:val="000000"/>
                <w:sz w:val="28"/>
                <w:szCs w:val="28"/>
              </w:rPr>
            </w:pPr>
          </w:p>
        </w:tc>
      </w:tr>
      <w:tr w:rsidR="00720D7B" w:rsidRPr="0028141E" w14:paraId="1F0A2C2C" w14:textId="77777777" w:rsidTr="00812CE7">
        <w:tc>
          <w:tcPr>
            <w:tcW w:w="2500" w:type="pct"/>
            <w:tcMar>
              <w:top w:w="0" w:type="dxa"/>
              <w:left w:w="108" w:type="dxa"/>
              <w:bottom w:w="0" w:type="dxa"/>
              <w:right w:w="108" w:type="dxa"/>
            </w:tcMar>
          </w:tcPr>
          <w:p w14:paraId="48EB1A88" w14:textId="77777777" w:rsidR="00720D7B" w:rsidRPr="0028141E" w:rsidRDefault="00720D7B" w:rsidP="00B90704">
            <w:pPr>
              <w:jc w:val="center"/>
              <w:rPr>
                <w:b/>
                <w:color w:val="000000"/>
                <w:sz w:val="28"/>
                <w:szCs w:val="28"/>
                <w:lang w:val="kk-KZ"/>
              </w:rPr>
            </w:pPr>
            <w:r w:rsidRPr="0028141E">
              <w:rPr>
                <w:rStyle w:val="s1"/>
                <w:b/>
                <w:color w:val="000000"/>
                <w:sz w:val="28"/>
                <w:szCs w:val="28"/>
                <w:lang w:val="kk-KZ"/>
              </w:rPr>
              <w:t>АНЫҚТАМА</w:t>
            </w:r>
          </w:p>
        </w:tc>
        <w:tc>
          <w:tcPr>
            <w:tcW w:w="2500" w:type="pct"/>
            <w:tcMar>
              <w:top w:w="0" w:type="dxa"/>
              <w:left w:w="108" w:type="dxa"/>
              <w:bottom w:w="0" w:type="dxa"/>
              <w:right w:w="108" w:type="dxa"/>
            </w:tcMar>
          </w:tcPr>
          <w:p w14:paraId="7E65B629" w14:textId="4E7E6BA0" w:rsidR="00720D7B" w:rsidRPr="0028141E" w:rsidRDefault="00720D7B" w:rsidP="00B90704">
            <w:pPr>
              <w:jc w:val="center"/>
              <w:rPr>
                <w:b/>
                <w:color w:val="000000"/>
                <w:sz w:val="28"/>
                <w:szCs w:val="28"/>
                <w:lang w:val="kk-KZ"/>
              </w:rPr>
            </w:pPr>
            <w:r w:rsidRPr="0028141E">
              <w:rPr>
                <w:rStyle w:val="s1"/>
                <w:b/>
                <w:color w:val="000000"/>
                <w:sz w:val="28"/>
                <w:szCs w:val="28"/>
              </w:rPr>
              <w:t>СПРАВКА</w:t>
            </w:r>
          </w:p>
        </w:tc>
      </w:tr>
      <w:tr w:rsidR="00720D7B" w:rsidRPr="0028141E" w14:paraId="6C759EEE" w14:textId="77777777" w:rsidTr="00812CE7">
        <w:tc>
          <w:tcPr>
            <w:tcW w:w="2500" w:type="pct"/>
            <w:tcMar>
              <w:top w:w="0" w:type="dxa"/>
              <w:left w:w="108" w:type="dxa"/>
              <w:bottom w:w="0" w:type="dxa"/>
              <w:right w:w="108" w:type="dxa"/>
            </w:tcMar>
          </w:tcPr>
          <w:p w14:paraId="644D4F67" w14:textId="77777777" w:rsidR="00720D7B" w:rsidRPr="0028141E" w:rsidRDefault="00720D7B" w:rsidP="00B90704">
            <w:pPr>
              <w:jc w:val="center"/>
              <w:rPr>
                <w:rStyle w:val="s1"/>
                <w:color w:val="000000"/>
                <w:sz w:val="28"/>
                <w:szCs w:val="28"/>
                <w:lang w:val="kk-KZ"/>
              </w:rPr>
            </w:pPr>
            <w:r w:rsidRPr="0028141E">
              <w:rPr>
                <w:rStyle w:val="s1"/>
                <w:color w:val="000000"/>
                <w:sz w:val="28"/>
                <w:szCs w:val="28"/>
                <w:lang w:val="kk-KZ"/>
              </w:rPr>
              <w:t>ғылыми кеңес отырысына</w:t>
            </w:r>
          </w:p>
        </w:tc>
        <w:tc>
          <w:tcPr>
            <w:tcW w:w="2500" w:type="pct"/>
            <w:tcMar>
              <w:top w:w="0" w:type="dxa"/>
              <w:left w:w="108" w:type="dxa"/>
              <w:bottom w:w="0" w:type="dxa"/>
              <w:right w:w="108" w:type="dxa"/>
            </w:tcMar>
          </w:tcPr>
          <w:p w14:paraId="04EBFDD6" w14:textId="62F3AC25" w:rsidR="00720D7B" w:rsidRPr="0028141E" w:rsidRDefault="00720D7B" w:rsidP="00B90704">
            <w:pPr>
              <w:tabs>
                <w:tab w:val="left" w:pos="1027"/>
              </w:tabs>
              <w:jc w:val="center"/>
              <w:rPr>
                <w:rStyle w:val="s1"/>
                <w:color w:val="000000"/>
                <w:sz w:val="28"/>
                <w:szCs w:val="28"/>
                <w:lang w:val="kk-KZ"/>
              </w:rPr>
            </w:pPr>
            <w:r w:rsidRPr="0028141E">
              <w:rPr>
                <w:rStyle w:val="s1"/>
                <w:color w:val="000000"/>
                <w:sz w:val="28"/>
                <w:szCs w:val="28"/>
                <w:lang w:val="kk-KZ"/>
              </w:rPr>
              <w:t>на заседание ученого совета</w:t>
            </w:r>
          </w:p>
        </w:tc>
      </w:tr>
      <w:tr w:rsidR="00720D7B" w:rsidRPr="0028141E" w14:paraId="7BF33924" w14:textId="77777777" w:rsidTr="00812CE7">
        <w:tc>
          <w:tcPr>
            <w:tcW w:w="2500" w:type="pct"/>
            <w:tcMar>
              <w:top w:w="0" w:type="dxa"/>
              <w:left w:w="108" w:type="dxa"/>
              <w:bottom w:w="0" w:type="dxa"/>
              <w:right w:w="108" w:type="dxa"/>
            </w:tcMar>
          </w:tcPr>
          <w:p w14:paraId="775F0665" w14:textId="3D37F31C" w:rsidR="00720D7B" w:rsidRPr="0028141E" w:rsidRDefault="003B196E" w:rsidP="00AA20E3">
            <w:pPr>
              <w:pStyle w:val="a3"/>
              <w:ind w:hanging="283"/>
              <w:jc w:val="center"/>
              <w:rPr>
                <w:color w:val="000000"/>
                <w:sz w:val="28"/>
                <w:szCs w:val="28"/>
                <w:lang w:val="kk-KZ"/>
              </w:rPr>
            </w:pPr>
            <w:r w:rsidRPr="003B196E">
              <w:rPr>
                <w:color w:val="000000"/>
                <w:sz w:val="28"/>
                <w:szCs w:val="28"/>
              </w:rPr>
              <w:t>29.03</w:t>
            </w:r>
            <w:r w:rsidR="00183074">
              <w:rPr>
                <w:color w:val="000000"/>
                <w:sz w:val="28"/>
                <w:szCs w:val="28"/>
              </w:rPr>
              <w:t>.2022</w:t>
            </w:r>
            <w:r w:rsidR="00720D7B" w:rsidRPr="0028141E">
              <w:rPr>
                <w:color w:val="000000"/>
                <w:sz w:val="28"/>
                <w:szCs w:val="28"/>
                <w:lang w:val="kk-KZ"/>
              </w:rPr>
              <w:t xml:space="preserve"> ж.</w:t>
            </w:r>
          </w:p>
        </w:tc>
        <w:tc>
          <w:tcPr>
            <w:tcW w:w="2500" w:type="pct"/>
            <w:tcMar>
              <w:top w:w="0" w:type="dxa"/>
              <w:left w:w="108" w:type="dxa"/>
              <w:bottom w:w="0" w:type="dxa"/>
              <w:right w:w="108" w:type="dxa"/>
            </w:tcMar>
          </w:tcPr>
          <w:p w14:paraId="13854D4D" w14:textId="24A62867" w:rsidR="00720D7B" w:rsidRPr="0028141E" w:rsidRDefault="003B196E" w:rsidP="00AA20E3">
            <w:pPr>
              <w:pStyle w:val="a3"/>
              <w:jc w:val="center"/>
              <w:rPr>
                <w:color w:val="000000"/>
                <w:sz w:val="28"/>
                <w:szCs w:val="28"/>
                <w:lang w:val="kk-KZ"/>
              </w:rPr>
            </w:pPr>
            <w:r>
              <w:rPr>
                <w:color w:val="000000"/>
                <w:sz w:val="28"/>
                <w:szCs w:val="28"/>
              </w:rPr>
              <w:t>29.03</w:t>
            </w:r>
            <w:bookmarkStart w:id="0" w:name="_GoBack"/>
            <w:bookmarkEnd w:id="0"/>
            <w:r w:rsidR="00183074">
              <w:rPr>
                <w:color w:val="000000"/>
                <w:sz w:val="28"/>
                <w:szCs w:val="28"/>
              </w:rPr>
              <w:t xml:space="preserve">.2022 </w:t>
            </w:r>
            <w:r w:rsidR="00720D7B" w:rsidRPr="00A127BF">
              <w:rPr>
                <w:color w:val="000000"/>
                <w:sz w:val="28"/>
                <w:szCs w:val="28"/>
                <w:lang w:val="kk-KZ"/>
              </w:rPr>
              <w:t>г.</w:t>
            </w:r>
          </w:p>
        </w:tc>
      </w:tr>
      <w:tr w:rsidR="00720D7B" w:rsidRPr="0028141E" w14:paraId="00012AE4" w14:textId="77777777" w:rsidTr="00812CE7">
        <w:tc>
          <w:tcPr>
            <w:tcW w:w="2500" w:type="pct"/>
            <w:tcMar>
              <w:top w:w="0" w:type="dxa"/>
              <w:left w:w="108" w:type="dxa"/>
              <w:bottom w:w="0" w:type="dxa"/>
              <w:right w:w="108" w:type="dxa"/>
            </w:tcMar>
          </w:tcPr>
          <w:p w14:paraId="3CE426CB" w14:textId="77777777" w:rsidR="00720D7B" w:rsidRPr="0028141E" w:rsidRDefault="00720D7B" w:rsidP="00B90704">
            <w:pPr>
              <w:jc w:val="center"/>
              <w:rPr>
                <w:color w:val="000000"/>
                <w:sz w:val="28"/>
                <w:szCs w:val="28"/>
              </w:rPr>
            </w:pPr>
            <w:r w:rsidRPr="0028141E">
              <w:rPr>
                <w:rStyle w:val="s1"/>
                <w:color w:val="000000"/>
                <w:sz w:val="28"/>
                <w:szCs w:val="28"/>
                <w:lang w:val="kk-KZ"/>
              </w:rPr>
              <w:t>Қостанай қаласы</w:t>
            </w:r>
          </w:p>
        </w:tc>
        <w:tc>
          <w:tcPr>
            <w:tcW w:w="2500" w:type="pct"/>
            <w:tcMar>
              <w:top w:w="0" w:type="dxa"/>
              <w:left w:w="108" w:type="dxa"/>
              <w:bottom w:w="0" w:type="dxa"/>
              <w:right w:w="108" w:type="dxa"/>
            </w:tcMar>
          </w:tcPr>
          <w:p w14:paraId="17B11862" w14:textId="391FEB2C" w:rsidR="00720D7B" w:rsidRPr="0028141E" w:rsidRDefault="00720D7B" w:rsidP="00B90704">
            <w:pPr>
              <w:pStyle w:val="a3"/>
              <w:jc w:val="center"/>
              <w:rPr>
                <w:color w:val="000000"/>
                <w:sz w:val="28"/>
                <w:szCs w:val="28"/>
              </w:rPr>
            </w:pPr>
            <w:r w:rsidRPr="0028141E">
              <w:rPr>
                <w:rStyle w:val="s1"/>
                <w:color w:val="000000"/>
                <w:sz w:val="28"/>
                <w:szCs w:val="28"/>
                <w:lang w:val="kk-KZ"/>
              </w:rPr>
              <w:t>город Костанай</w:t>
            </w:r>
          </w:p>
        </w:tc>
      </w:tr>
      <w:tr w:rsidR="00720D7B" w:rsidRPr="0028141E" w14:paraId="2CBC8BA3" w14:textId="77777777" w:rsidTr="00812CE7">
        <w:tc>
          <w:tcPr>
            <w:tcW w:w="2500" w:type="pct"/>
            <w:tcMar>
              <w:top w:w="0" w:type="dxa"/>
              <w:left w:w="108" w:type="dxa"/>
              <w:bottom w:w="0" w:type="dxa"/>
              <w:right w:w="108" w:type="dxa"/>
            </w:tcMar>
          </w:tcPr>
          <w:p w14:paraId="47D724A6" w14:textId="77777777" w:rsidR="00720D7B" w:rsidRPr="0028141E" w:rsidRDefault="00720D7B" w:rsidP="00812CE7">
            <w:pPr>
              <w:jc w:val="both"/>
              <w:rPr>
                <w:rStyle w:val="s1"/>
                <w:color w:val="000000"/>
                <w:sz w:val="28"/>
                <w:szCs w:val="28"/>
                <w:lang w:val="kk-KZ"/>
              </w:rPr>
            </w:pPr>
          </w:p>
        </w:tc>
        <w:tc>
          <w:tcPr>
            <w:tcW w:w="2500" w:type="pct"/>
            <w:tcMar>
              <w:top w:w="0" w:type="dxa"/>
              <w:left w:w="108" w:type="dxa"/>
              <w:bottom w:w="0" w:type="dxa"/>
              <w:right w:w="108" w:type="dxa"/>
            </w:tcMar>
          </w:tcPr>
          <w:p w14:paraId="23A5DA83" w14:textId="77777777" w:rsidR="00720D7B" w:rsidRPr="0028141E" w:rsidRDefault="00720D7B" w:rsidP="00812CE7">
            <w:pPr>
              <w:pStyle w:val="a3"/>
              <w:jc w:val="right"/>
              <w:rPr>
                <w:rStyle w:val="s1"/>
                <w:color w:val="000000"/>
                <w:sz w:val="28"/>
                <w:szCs w:val="28"/>
                <w:lang w:val="kk-KZ"/>
              </w:rPr>
            </w:pPr>
          </w:p>
        </w:tc>
      </w:tr>
    </w:tbl>
    <w:p w14:paraId="5845C0F5" w14:textId="29DF8397" w:rsidR="00413415" w:rsidRDefault="00B90704" w:rsidP="00D50042">
      <w:pPr>
        <w:tabs>
          <w:tab w:val="left" w:pos="317"/>
        </w:tabs>
        <w:ind w:left="35" w:right="-108" w:firstLine="709"/>
        <w:jc w:val="center"/>
        <w:rPr>
          <w:rFonts w:eastAsia="Calibri"/>
          <w:b/>
          <w:bCs/>
          <w:i/>
          <w:iCs/>
          <w:sz w:val="28"/>
          <w:szCs w:val="28"/>
          <w:lang w:eastAsia="en-US"/>
        </w:rPr>
      </w:pPr>
      <w:r w:rsidRPr="00B90704">
        <w:rPr>
          <w:rFonts w:eastAsia="Calibri"/>
          <w:b/>
          <w:bCs/>
          <w:i/>
          <w:iCs/>
          <w:sz w:val="28"/>
          <w:szCs w:val="28"/>
          <w:lang w:eastAsia="en-US"/>
        </w:rPr>
        <w:t xml:space="preserve">О работе по формированию принципов </w:t>
      </w:r>
      <w:proofErr w:type="spellStart"/>
      <w:r w:rsidRPr="00B90704">
        <w:rPr>
          <w:rFonts w:eastAsia="Calibri"/>
          <w:b/>
          <w:bCs/>
          <w:i/>
          <w:iCs/>
          <w:sz w:val="28"/>
          <w:szCs w:val="28"/>
          <w:lang w:eastAsia="en-US"/>
        </w:rPr>
        <w:t>добропорядночности</w:t>
      </w:r>
      <w:proofErr w:type="spellEnd"/>
      <w:r w:rsidRPr="00B90704">
        <w:rPr>
          <w:rFonts w:eastAsia="Calibri"/>
          <w:b/>
          <w:bCs/>
          <w:i/>
          <w:iCs/>
          <w:sz w:val="28"/>
          <w:szCs w:val="28"/>
          <w:lang w:eastAsia="en-US"/>
        </w:rPr>
        <w:t xml:space="preserve"> и академической честности в университете</w:t>
      </w:r>
    </w:p>
    <w:p w14:paraId="7EC7EE2D" w14:textId="77777777" w:rsidR="00B90704" w:rsidRPr="00B90704" w:rsidRDefault="00B90704" w:rsidP="00D50042">
      <w:pPr>
        <w:tabs>
          <w:tab w:val="left" w:pos="317"/>
        </w:tabs>
        <w:ind w:left="35" w:right="-108" w:firstLine="709"/>
        <w:jc w:val="center"/>
        <w:rPr>
          <w:rFonts w:eastAsia="Calibri"/>
          <w:b/>
          <w:bCs/>
          <w:i/>
          <w:iCs/>
          <w:sz w:val="28"/>
          <w:szCs w:val="28"/>
          <w:lang w:eastAsia="en-US"/>
        </w:rPr>
      </w:pPr>
    </w:p>
    <w:p w14:paraId="29C8AD65" w14:textId="77777777" w:rsidR="00BE5DC0" w:rsidRPr="00BE5DC0" w:rsidRDefault="00BE5DC0" w:rsidP="00BE5DC0">
      <w:pPr>
        <w:suppressAutoHyphens/>
        <w:spacing w:line="276" w:lineRule="auto"/>
        <w:ind w:firstLine="567"/>
        <w:jc w:val="both"/>
        <w:rPr>
          <w:rFonts w:eastAsia="Calibri"/>
          <w:sz w:val="28"/>
          <w:szCs w:val="28"/>
          <w:lang w:eastAsia="en-US"/>
        </w:rPr>
      </w:pPr>
      <w:r w:rsidRPr="00BE5DC0">
        <w:rPr>
          <w:rFonts w:eastAsia="Calibri"/>
          <w:sz w:val="28"/>
          <w:szCs w:val="28"/>
          <w:lang w:eastAsia="en-US"/>
        </w:rPr>
        <w:t xml:space="preserve">Антикоррупционная деятельность в организациях образования была активизирована в январе 2020 года. Именно в это время МОН РК был разработан и направлен во все высшие учебные заведения республики План мероприятий по антикоррупционной деятельности, рассчитанный на 2020-2022 </w:t>
      </w:r>
      <w:proofErr w:type="spellStart"/>
      <w:r w:rsidRPr="00BE5DC0">
        <w:rPr>
          <w:rFonts w:eastAsia="Calibri"/>
          <w:sz w:val="28"/>
          <w:szCs w:val="28"/>
          <w:lang w:eastAsia="en-US"/>
        </w:rPr>
        <w:t>г.г</w:t>
      </w:r>
      <w:proofErr w:type="spellEnd"/>
      <w:r w:rsidRPr="00BE5DC0">
        <w:rPr>
          <w:rFonts w:eastAsia="Calibri"/>
          <w:sz w:val="28"/>
          <w:szCs w:val="28"/>
          <w:lang w:eastAsia="en-US"/>
        </w:rPr>
        <w:t xml:space="preserve">. С увеличением контингента студентов и сотрудников, в целях развития антикоррупционного мировоззрения и антикоррупционной культуры у сотрудников и обучающихся НАО Костанайского регионального университета имени </w:t>
      </w:r>
      <w:proofErr w:type="spellStart"/>
      <w:r w:rsidRPr="00BE5DC0">
        <w:rPr>
          <w:rFonts w:eastAsia="Calibri"/>
          <w:sz w:val="28"/>
          <w:szCs w:val="28"/>
          <w:lang w:eastAsia="en-US"/>
        </w:rPr>
        <w:t>А.Байтурсынова</w:t>
      </w:r>
      <w:proofErr w:type="spellEnd"/>
      <w:r w:rsidRPr="00BE5DC0">
        <w:rPr>
          <w:rFonts w:eastAsia="Calibri"/>
          <w:sz w:val="28"/>
          <w:szCs w:val="28"/>
          <w:lang w:eastAsia="en-US"/>
        </w:rPr>
        <w:t xml:space="preserve">, в октябре 2020 года в университете был создан Офис противодействия коррупции, который 22 февраля 2022 года Протокольным Решением Совета Директоров №12 Офис переименован в Антикоррупционную комплаенс – службу, подчиняющуюся непосредственно Совету Директоров, о чем был издан соответствующий приказ от 01 марта 2022 года № 244 - ЛС «О внесении изменения в штатное расписание» за подписью И.о. Председателя Правления – Ректора. </w:t>
      </w:r>
    </w:p>
    <w:p w14:paraId="12B0CC9E" w14:textId="77777777" w:rsidR="00BE5DC0" w:rsidRPr="00BE5DC0" w:rsidRDefault="00BE5DC0" w:rsidP="00E91013">
      <w:pPr>
        <w:suppressAutoHyphens/>
        <w:spacing w:line="276" w:lineRule="auto"/>
        <w:ind w:firstLine="567"/>
        <w:jc w:val="both"/>
        <w:rPr>
          <w:rFonts w:eastAsia="Calibri"/>
          <w:sz w:val="28"/>
          <w:szCs w:val="28"/>
          <w:lang w:eastAsia="en-US"/>
        </w:rPr>
      </w:pPr>
      <w:r w:rsidRPr="00BE5DC0">
        <w:rPr>
          <w:rFonts w:eastAsia="Calibri"/>
          <w:sz w:val="28"/>
          <w:szCs w:val="28"/>
          <w:lang w:eastAsia="en-US"/>
        </w:rPr>
        <w:t xml:space="preserve">В университете разработан и утвержден внутренний План мероприятий по антикоррупционной деятельности на 2022-2023 г. «По формированию нетерпимости к проявлениям к коррупции». Согласно данному плану мероприятия, направленные на профилактику коррупционных правонарушений среди студентов, проводятся в штатном режиме. </w:t>
      </w:r>
    </w:p>
    <w:p w14:paraId="23A68378" w14:textId="77777777" w:rsidR="00BE5DC0" w:rsidRPr="00BE5DC0" w:rsidRDefault="00BE5DC0" w:rsidP="00E91013">
      <w:pPr>
        <w:suppressAutoHyphens/>
        <w:spacing w:line="276" w:lineRule="auto"/>
        <w:ind w:firstLine="567"/>
        <w:jc w:val="both"/>
        <w:rPr>
          <w:rFonts w:eastAsia="Calibri"/>
          <w:sz w:val="28"/>
          <w:szCs w:val="28"/>
          <w:lang w:eastAsia="en-US"/>
        </w:rPr>
      </w:pPr>
      <w:r w:rsidRPr="00BE5DC0">
        <w:rPr>
          <w:rFonts w:eastAsia="Calibri"/>
          <w:sz w:val="28"/>
          <w:szCs w:val="28"/>
          <w:lang w:eastAsia="en-US"/>
        </w:rPr>
        <w:t>Так, АКС совместно с комитетом по делам молодежи и подразделением медиацентра и издательства на постоянной основе разрабатываются и публикуются видеоролики, направленные на превенцию и неприязнь к коррупционным правонарушениям, данные ролики публикуются на портале, а также на страницах социальных сетей университета и студенческого парламента.</w:t>
      </w:r>
    </w:p>
    <w:p w14:paraId="460E63AB" w14:textId="77777777" w:rsidR="00BE5DC0" w:rsidRPr="00BE5DC0" w:rsidRDefault="00BE5DC0" w:rsidP="00E91013">
      <w:pPr>
        <w:suppressAutoHyphens/>
        <w:spacing w:line="276" w:lineRule="auto"/>
        <w:ind w:firstLine="567"/>
        <w:jc w:val="both"/>
        <w:rPr>
          <w:rFonts w:eastAsia="Calibri"/>
          <w:sz w:val="28"/>
          <w:szCs w:val="28"/>
          <w:lang w:eastAsia="en-US"/>
        </w:rPr>
      </w:pPr>
      <w:r w:rsidRPr="00BE5DC0">
        <w:rPr>
          <w:rFonts w:eastAsia="Calibri"/>
          <w:sz w:val="28"/>
          <w:szCs w:val="28"/>
          <w:lang w:eastAsia="en-US"/>
        </w:rPr>
        <w:lastRenderedPageBreak/>
        <w:t>Вместе с тем, проводятся различные виды встреч с обучающимися совместно с агентством по противодействию коррупции, а также с приглашенными лидерами общественного мнения и лидерами молодежи.</w:t>
      </w:r>
    </w:p>
    <w:p w14:paraId="31125F21" w14:textId="77777777" w:rsidR="00BE5DC0" w:rsidRPr="00BE5DC0" w:rsidRDefault="00BE5DC0" w:rsidP="00BE5DC0">
      <w:pPr>
        <w:suppressAutoHyphens/>
        <w:spacing w:line="276" w:lineRule="auto"/>
        <w:jc w:val="both"/>
        <w:rPr>
          <w:rFonts w:eastAsia="Calibri"/>
          <w:sz w:val="28"/>
          <w:szCs w:val="28"/>
          <w:lang w:eastAsia="en-US"/>
        </w:rPr>
      </w:pPr>
      <w:r w:rsidRPr="00BE5DC0">
        <w:rPr>
          <w:rFonts w:eastAsia="Calibri"/>
          <w:sz w:val="28"/>
          <w:szCs w:val="28"/>
          <w:lang w:eastAsia="en-US"/>
        </w:rPr>
        <w:t>Наряду с этим, АКС совместно с комитетом по делам молодежи проводит тематические конкурсы для обучающихся всех уровней образования. На сегодняшний день запущен конкурс на лучший видеоролик на антикоррупционную тематику.</w:t>
      </w:r>
    </w:p>
    <w:p w14:paraId="28D83DD2" w14:textId="32F75683" w:rsidR="00BE5DC0" w:rsidRPr="00BE5DC0" w:rsidRDefault="00BE5DC0" w:rsidP="00E91013">
      <w:pPr>
        <w:suppressAutoHyphens/>
        <w:spacing w:line="276" w:lineRule="auto"/>
        <w:ind w:firstLine="709"/>
        <w:jc w:val="both"/>
        <w:rPr>
          <w:rFonts w:eastAsia="Calibri"/>
          <w:sz w:val="28"/>
          <w:szCs w:val="28"/>
          <w:lang w:eastAsia="en-US"/>
        </w:rPr>
      </w:pPr>
      <w:r w:rsidRPr="00BE5DC0">
        <w:rPr>
          <w:rFonts w:eastAsia="Calibri"/>
          <w:sz w:val="28"/>
          <w:szCs w:val="28"/>
          <w:lang w:eastAsia="en-US"/>
        </w:rPr>
        <w:t>Ежегодно 09 декабря в рамках празднования «Международного дня борьбы с коррупцией», АКС</w:t>
      </w:r>
      <w:r w:rsidR="003F500A">
        <w:rPr>
          <w:rFonts w:eastAsia="Calibri"/>
          <w:sz w:val="28"/>
          <w:szCs w:val="28"/>
          <w:lang w:eastAsia="en-US"/>
        </w:rPr>
        <w:t xml:space="preserve"> совместно с </w:t>
      </w:r>
      <w:proofErr w:type="spellStart"/>
      <w:r w:rsidR="003F500A">
        <w:rPr>
          <w:rFonts w:eastAsia="Calibri"/>
          <w:sz w:val="28"/>
          <w:szCs w:val="28"/>
          <w:lang w:eastAsia="en-US"/>
        </w:rPr>
        <w:t>ИЭиП</w:t>
      </w:r>
      <w:proofErr w:type="spellEnd"/>
      <w:r w:rsidR="003F500A">
        <w:rPr>
          <w:rFonts w:eastAsia="Calibri"/>
          <w:sz w:val="28"/>
          <w:szCs w:val="28"/>
          <w:lang w:eastAsia="en-US"/>
        </w:rPr>
        <w:t>, КДМ и студенческим парламентом</w:t>
      </w:r>
      <w:r w:rsidRPr="00BE5DC0">
        <w:rPr>
          <w:rFonts w:eastAsia="Calibri"/>
          <w:sz w:val="28"/>
          <w:szCs w:val="28"/>
          <w:lang w:eastAsia="en-US"/>
        </w:rPr>
        <w:t xml:space="preserve"> проводятся различные мероприятия (например, круглые столы, интеллектуальные игры, </w:t>
      </w:r>
      <w:proofErr w:type="spellStart"/>
      <w:r w:rsidRPr="00BE5DC0">
        <w:rPr>
          <w:rFonts w:eastAsia="Calibri"/>
          <w:sz w:val="28"/>
          <w:szCs w:val="28"/>
          <w:lang w:eastAsia="en-US"/>
        </w:rPr>
        <w:t>дебатные</w:t>
      </w:r>
      <w:proofErr w:type="spellEnd"/>
      <w:r w:rsidRPr="00BE5DC0">
        <w:rPr>
          <w:rFonts w:eastAsia="Calibri"/>
          <w:sz w:val="28"/>
          <w:szCs w:val="28"/>
          <w:lang w:eastAsia="en-US"/>
        </w:rPr>
        <w:t xml:space="preserve"> турниры, КВНы и т.д.), которы</w:t>
      </w:r>
      <w:r w:rsidR="003F500A">
        <w:rPr>
          <w:rFonts w:eastAsia="Calibri"/>
          <w:sz w:val="28"/>
          <w:szCs w:val="28"/>
          <w:lang w:eastAsia="en-US"/>
        </w:rPr>
        <w:t>е</w:t>
      </w:r>
      <w:r w:rsidRPr="00BE5DC0">
        <w:rPr>
          <w:rFonts w:eastAsia="Calibri"/>
          <w:sz w:val="28"/>
          <w:szCs w:val="28"/>
          <w:lang w:eastAsia="en-US"/>
        </w:rPr>
        <w:t xml:space="preserve"> направленные на профилактику и повышения неприязни к данному социальному явлению. </w:t>
      </w:r>
    </w:p>
    <w:p w14:paraId="0AC86A0C" w14:textId="77777777" w:rsidR="00BE5DC0" w:rsidRPr="00BE5DC0" w:rsidRDefault="00BE5DC0" w:rsidP="00E91013">
      <w:pPr>
        <w:suppressAutoHyphens/>
        <w:spacing w:line="276" w:lineRule="auto"/>
        <w:ind w:firstLine="709"/>
        <w:jc w:val="both"/>
        <w:rPr>
          <w:rFonts w:eastAsia="Calibri"/>
          <w:sz w:val="28"/>
          <w:szCs w:val="28"/>
          <w:lang w:eastAsia="en-US"/>
        </w:rPr>
      </w:pPr>
      <w:r w:rsidRPr="00BE5DC0">
        <w:rPr>
          <w:rFonts w:eastAsia="Calibri"/>
          <w:sz w:val="28"/>
          <w:szCs w:val="28"/>
          <w:lang w:eastAsia="en-US"/>
        </w:rPr>
        <w:t>Также, ежегодно проводится акция «Чистая сессия», в рамках которой проводится мониторинг проведения экзаменов. В преддверии данной акции АКС на базе АИС «</w:t>
      </w:r>
      <w:proofErr w:type="spellStart"/>
      <w:r w:rsidRPr="00BE5DC0">
        <w:rPr>
          <w:rFonts w:eastAsia="Calibri"/>
          <w:sz w:val="28"/>
          <w:szCs w:val="28"/>
          <w:lang w:eastAsia="en-US"/>
        </w:rPr>
        <w:t>Платонус</w:t>
      </w:r>
      <w:proofErr w:type="spellEnd"/>
      <w:r w:rsidRPr="00BE5DC0">
        <w:rPr>
          <w:rFonts w:eastAsia="Calibri"/>
          <w:sz w:val="28"/>
          <w:szCs w:val="28"/>
          <w:lang w:eastAsia="en-US"/>
        </w:rPr>
        <w:t>» было проведено анонимное анкетирование, по результатам которого выявляются наиболее уязвимые места для коррупционных рисков. В исследовании приняли участие - 3479 обучающихся 1-5 курсов, что составляет 49,94% от общего контингента обучающихся университета. Из них, на бесплатной основе 1825 человек (52,46 %), на платной – 1655 (47,54%). Данное исследование показало, что уровень информированности о том, что такое коррупция составляет 90,17%. Никто из респондентов, попадавших в коррупционную ситуацию, не сообщил о ней</w:t>
      </w:r>
    </w:p>
    <w:p w14:paraId="45991025" w14:textId="474AA0CC" w:rsidR="00BE5DC0" w:rsidRDefault="00BE5DC0" w:rsidP="00BE5DC0">
      <w:pPr>
        <w:suppressAutoHyphens/>
        <w:spacing w:line="276" w:lineRule="auto"/>
        <w:jc w:val="both"/>
        <w:rPr>
          <w:rFonts w:eastAsia="Calibri"/>
          <w:sz w:val="28"/>
          <w:szCs w:val="28"/>
          <w:lang w:eastAsia="en-US"/>
        </w:rPr>
      </w:pPr>
      <w:r w:rsidRPr="00BE5DC0">
        <w:rPr>
          <w:rFonts w:eastAsia="Calibri"/>
          <w:sz w:val="28"/>
          <w:szCs w:val="28"/>
          <w:lang w:eastAsia="en-US"/>
        </w:rPr>
        <w:t>На время проведения зимней экзаменационной сессии 2022 – 2023 учебного года, в рамках проводимой в университете акции, создан штаб из числа обучающихся университета, был разработан план организации и проведения акции «Чистая сессия», согласно которого информация о проведении акции, телефонах горячей линии, составе штаба постоянно доступна для обучающихся университета. Была организована «Горячая линия» по проведению акции, нами использовались не только номера городских телефонов, но и для удобства студентов и преподавателей, был использован номер мобильного телефона руководителя АКС, с использованием мессенджера «</w:t>
      </w:r>
      <w:proofErr w:type="spellStart"/>
      <w:r w:rsidRPr="00BE5DC0">
        <w:rPr>
          <w:rFonts w:eastAsia="Calibri"/>
          <w:sz w:val="28"/>
          <w:szCs w:val="28"/>
          <w:lang w:eastAsia="en-US"/>
        </w:rPr>
        <w:t>Whats</w:t>
      </w:r>
      <w:proofErr w:type="spellEnd"/>
      <w:r w:rsidRPr="00BE5DC0">
        <w:rPr>
          <w:rFonts w:eastAsia="Calibri"/>
          <w:sz w:val="28"/>
          <w:szCs w:val="28"/>
          <w:lang w:eastAsia="en-US"/>
        </w:rPr>
        <w:t xml:space="preserve"> </w:t>
      </w:r>
      <w:proofErr w:type="spellStart"/>
      <w:r w:rsidRPr="00BE5DC0">
        <w:rPr>
          <w:rFonts w:eastAsia="Calibri"/>
          <w:sz w:val="28"/>
          <w:szCs w:val="28"/>
          <w:lang w:eastAsia="en-US"/>
        </w:rPr>
        <w:t>App</w:t>
      </w:r>
      <w:proofErr w:type="spellEnd"/>
      <w:r w:rsidRPr="00BE5DC0">
        <w:rPr>
          <w:rFonts w:eastAsia="Calibri"/>
          <w:sz w:val="28"/>
          <w:szCs w:val="28"/>
          <w:lang w:eastAsia="en-US"/>
        </w:rPr>
        <w:t xml:space="preserve">». Виртуальная приемная, а также «Блог ректора» университета были использованы в качестве электронного «Ящика доверия» для обращения обучающихся и преподавателей университета негативного характера. По итогам проведения акции обращений по коррупционным проявлениям на указанные средства связи не поступало. </w:t>
      </w:r>
    </w:p>
    <w:p w14:paraId="15079DC9" w14:textId="67291F15" w:rsidR="003F500A" w:rsidRPr="00BE5DC0" w:rsidRDefault="003F500A" w:rsidP="00BE5DC0">
      <w:pPr>
        <w:suppressAutoHyphens/>
        <w:spacing w:line="276" w:lineRule="auto"/>
        <w:jc w:val="both"/>
        <w:rPr>
          <w:rFonts w:eastAsia="Calibri"/>
          <w:sz w:val="28"/>
          <w:szCs w:val="28"/>
          <w:lang w:eastAsia="en-US"/>
        </w:rPr>
      </w:pPr>
      <w:r>
        <w:rPr>
          <w:rFonts w:eastAsia="Calibri"/>
          <w:sz w:val="28"/>
          <w:szCs w:val="28"/>
          <w:lang w:eastAsia="en-US"/>
        </w:rPr>
        <w:tab/>
        <w:t>Все мероприятия опубликованы на портале антикоррупционной комплаенс-службы, а также на страницах социальных сетей университета.</w:t>
      </w:r>
    </w:p>
    <w:p w14:paraId="1C0D47B7" w14:textId="77777777" w:rsidR="00BE5DC0" w:rsidRPr="00BE5DC0" w:rsidRDefault="00BE5DC0" w:rsidP="00E91013">
      <w:pPr>
        <w:suppressAutoHyphens/>
        <w:spacing w:line="276" w:lineRule="auto"/>
        <w:ind w:firstLine="709"/>
        <w:jc w:val="both"/>
        <w:rPr>
          <w:rFonts w:eastAsia="Calibri"/>
          <w:sz w:val="28"/>
          <w:szCs w:val="28"/>
          <w:lang w:eastAsia="en-US"/>
        </w:rPr>
      </w:pPr>
      <w:r w:rsidRPr="00BE5DC0">
        <w:rPr>
          <w:rFonts w:eastAsia="Calibri"/>
          <w:sz w:val="28"/>
          <w:szCs w:val="28"/>
          <w:lang w:eastAsia="en-US"/>
        </w:rPr>
        <w:lastRenderedPageBreak/>
        <w:t xml:space="preserve">Основная цель, преследуемая в проведении работы в области противодействия коррупции – повышение юридической грамотности студентов и воспитание в них нулевой терпимости к коррупционным проявлениям. </w:t>
      </w:r>
    </w:p>
    <w:p w14:paraId="28BDF608" w14:textId="4484FD04" w:rsidR="001F058C" w:rsidRDefault="00BE5DC0" w:rsidP="00E91013">
      <w:pPr>
        <w:suppressAutoHyphens/>
        <w:spacing w:line="276" w:lineRule="auto"/>
        <w:ind w:firstLine="709"/>
        <w:jc w:val="both"/>
        <w:rPr>
          <w:rFonts w:eastAsia="SimSun"/>
          <w:kern w:val="1"/>
          <w:sz w:val="28"/>
          <w:szCs w:val="28"/>
          <w:lang w:eastAsia="ar-SA"/>
        </w:rPr>
      </w:pPr>
      <w:r w:rsidRPr="00BE5DC0">
        <w:rPr>
          <w:rFonts w:eastAsia="Calibri"/>
          <w:sz w:val="28"/>
          <w:szCs w:val="28"/>
          <w:lang w:eastAsia="en-US"/>
        </w:rPr>
        <w:t>С декабря 2021 по май 2022 года в основных подразделениях университета проводилась антикоррупционная экспертиза внутренних нормативных актов. Экспертиза была инициирована МОН РК, для чего были разработаны Типовые правила проведения антикоррупционной экспертизы внутренних нормативных актов. Правила доведены до сведения всех руководителей структурных подразделений для дальнейшего использования в работе. То есть, теперь при составлении тех или иных нормативных документов, нам необходимо руководствоваться указанными правилам для исключения возможных коррупционных рисков, которые могут быть допущены недоработкой документов. В каждом подразделении были созданы внутренние комиссии, в состав которых наряду с сотрудниками подразделений, вошли юристы, лингвисты. В ходе анализа было выявлено 28 коррупционных рисков, по которым были даны рекомендации по их устранению. На сегодняшний день хочу отметить, что данные риски устранены, о чем был составлен отчет, который был предоставлен Министерство науки и высшего образования.</w:t>
      </w:r>
    </w:p>
    <w:p w14:paraId="21321CB9" w14:textId="77777777" w:rsidR="00BE5DC0" w:rsidRPr="001F058C" w:rsidRDefault="00BE5DC0" w:rsidP="001F058C">
      <w:pPr>
        <w:suppressAutoHyphens/>
        <w:spacing w:line="276" w:lineRule="auto"/>
        <w:jc w:val="both"/>
        <w:rPr>
          <w:rFonts w:eastAsia="SimSun"/>
          <w:kern w:val="1"/>
          <w:sz w:val="28"/>
          <w:szCs w:val="28"/>
          <w:lang w:eastAsia="ar-SA"/>
        </w:rPr>
      </w:pPr>
    </w:p>
    <w:p w14:paraId="1A9449B4" w14:textId="77777777" w:rsidR="001F058C" w:rsidRPr="001F058C" w:rsidRDefault="001F058C" w:rsidP="001F058C">
      <w:pPr>
        <w:suppressAutoHyphens/>
        <w:spacing w:line="276" w:lineRule="auto"/>
        <w:jc w:val="both"/>
        <w:rPr>
          <w:rFonts w:eastAsia="SimSun"/>
          <w:b/>
          <w:bCs/>
          <w:kern w:val="1"/>
          <w:sz w:val="28"/>
          <w:szCs w:val="28"/>
          <w:lang w:eastAsia="ar-SA"/>
        </w:rPr>
      </w:pPr>
      <w:r w:rsidRPr="001F058C">
        <w:rPr>
          <w:rFonts w:eastAsia="SimSun"/>
          <w:b/>
          <w:bCs/>
          <w:kern w:val="1"/>
          <w:sz w:val="28"/>
          <w:szCs w:val="28"/>
          <w:lang w:eastAsia="ar-SA"/>
        </w:rPr>
        <w:t xml:space="preserve">И.о. руководителя офиса </w:t>
      </w:r>
    </w:p>
    <w:p w14:paraId="0708618E" w14:textId="7CBA2D58" w:rsidR="00413415" w:rsidRDefault="00BE5DC0" w:rsidP="001F058C">
      <w:pPr>
        <w:suppressAutoHyphens/>
        <w:spacing w:line="276" w:lineRule="auto"/>
        <w:jc w:val="both"/>
        <w:rPr>
          <w:b/>
          <w:i/>
          <w:sz w:val="28"/>
          <w:szCs w:val="28"/>
        </w:rPr>
      </w:pPr>
      <w:r>
        <w:rPr>
          <w:rFonts w:eastAsia="SimSun"/>
          <w:b/>
          <w:bCs/>
          <w:kern w:val="1"/>
          <w:sz w:val="28"/>
          <w:szCs w:val="28"/>
          <w:lang w:eastAsia="ar-SA"/>
        </w:rPr>
        <w:t>Антикоррупционной комплаенс-службы</w:t>
      </w:r>
      <w:r w:rsidR="001F058C" w:rsidRPr="001F058C">
        <w:rPr>
          <w:rFonts w:eastAsia="SimSun"/>
          <w:b/>
          <w:bCs/>
          <w:kern w:val="1"/>
          <w:sz w:val="28"/>
          <w:szCs w:val="28"/>
          <w:lang w:eastAsia="ar-SA"/>
        </w:rPr>
        <w:t xml:space="preserve">       </w:t>
      </w:r>
      <w:r>
        <w:rPr>
          <w:rFonts w:eastAsia="SimSun"/>
          <w:b/>
          <w:bCs/>
          <w:kern w:val="1"/>
          <w:sz w:val="28"/>
          <w:szCs w:val="28"/>
          <w:lang w:eastAsia="ar-SA"/>
        </w:rPr>
        <w:t xml:space="preserve">                           </w:t>
      </w:r>
      <w:proofErr w:type="spellStart"/>
      <w:r>
        <w:rPr>
          <w:rFonts w:eastAsia="SimSun"/>
          <w:b/>
          <w:bCs/>
          <w:kern w:val="1"/>
          <w:sz w:val="28"/>
          <w:szCs w:val="28"/>
          <w:lang w:eastAsia="ar-SA"/>
        </w:rPr>
        <w:t>Н.Алыкпашев</w:t>
      </w:r>
      <w:proofErr w:type="spellEnd"/>
    </w:p>
    <w:sectPr w:rsidR="00413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A1795"/>
    <w:multiLevelType w:val="hybridMultilevel"/>
    <w:tmpl w:val="DF9E6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B948BF"/>
    <w:multiLevelType w:val="hybridMultilevel"/>
    <w:tmpl w:val="2DB6E5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83A2D50"/>
    <w:multiLevelType w:val="hybridMultilevel"/>
    <w:tmpl w:val="29EED5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0C01FB9"/>
    <w:multiLevelType w:val="hybridMultilevel"/>
    <w:tmpl w:val="45D436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26A4D6A"/>
    <w:multiLevelType w:val="hybridMultilevel"/>
    <w:tmpl w:val="3366182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6531460A"/>
    <w:multiLevelType w:val="hybridMultilevel"/>
    <w:tmpl w:val="54A6F5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A0012F7"/>
    <w:multiLevelType w:val="hybridMultilevel"/>
    <w:tmpl w:val="691264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7B"/>
    <w:rsid w:val="00002C16"/>
    <w:rsid w:val="000440D7"/>
    <w:rsid w:val="000517F8"/>
    <w:rsid w:val="00071979"/>
    <w:rsid w:val="000933BD"/>
    <w:rsid w:val="00097511"/>
    <w:rsid w:val="000E0D65"/>
    <w:rsid w:val="001244FB"/>
    <w:rsid w:val="001271ED"/>
    <w:rsid w:val="00183074"/>
    <w:rsid w:val="00190FA6"/>
    <w:rsid w:val="001E018B"/>
    <w:rsid w:val="001E6F2B"/>
    <w:rsid w:val="001F058C"/>
    <w:rsid w:val="0023732E"/>
    <w:rsid w:val="00252899"/>
    <w:rsid w:val="002603E7"/>
    <w:rsid w:val="0028372E"/>
    <w:rsid w:val="002B66B3"/>
    <w:rsid w:val="002D23FF"/>
    <w:rsid w:val="002F342C"/>
    <w:rsid w:val="00312B87"/>
    <w:rsid w:val="00323410"/>
    <w:rsid w:val="00361E28"/>
    <w:rsid w:val="00362D1B"/>
    <w:rsid w:val="00377E25"/>
    <w:rsid w:val="0039108F"/>
    <w:rsid w:val="003A3723"/>
    <w:rsid w:val="003B196E"/>
    <w:rsid w:val="003C7324"/>
    <w:rsid w:val="003F500A"/>
    <w:rsid w:val="0041238A"/>
    <w:rsid w:val="00413415"/>
    <w:rsid w:val="004A2B1B"/>
    <w:rsid w:val="004F3701"/>
    <w:rsid w:val="004F4614"/>
    <w:rsid w:val="00506C88"/>
    <w:rsid w:val="00556F1C"/>
    <w:rsid w:val="00560DC4"/>
    <w:rsid w:val="00571FF0"/>
    <w:rsid w:val="0057445D"/>
    <w:rsid w:val="00575B1F"/>
    <w:rsid w:val="005E7C66"/>
    <w:rsid w:val="005F23DD"/>
    <w:rsid w:val="00600140"/>
    <w:rsid w:val="00623351"/>
    <w:rsid w:val="006431CA"/>
    <w:rsid w:val="007067C8"/>
    <w:rsid w:val="00720D7B"/>
    <w:rsid w:val="00765403"/>
    <w:rsid w:val="00772A86"/>
    <w:rsid w:val="007B0ED3"/>
    <w:rsid w:val="007D0AA9"/>
    <w:rsid w:val="007D433B"/>
    <w:rsid w:val="0081577C"/>
    <w:rsid w:val="008275D0"/>
    <w:rsid w:val="008B121F"/>
    <w:rsid w:val="008B31FD"/>
    <w:rsid w:val="008B366B"/>
    <w:rsid w:val="008E6697"/>
    <w:rsid w:val="00957549"/>
    <w:rsid w:val="00997A6E"/>
    <w:rsid w:val="00A63DE3"/>
    <w:rsid w:val="00A81191"/>
    <w:rsid w:val="00AA20E3"/>
    <w:rsid w:val="00B90704"/>
    <w:rsid w:val="00BA715F"/>
    <w:rsid w:val="00BD19A9"/>
    <w:rsid w:val="00BE5DC0"/>
    <w:rsid w:val="00BF3E02"/>
    <w:rsid w:val="00C0363B"/>
    <w:rsid w:val="00C078E0"/>
    <w:rsid w:val="00C42446"/>
    <w:rsid w:val="00C87A1B"/>
    <w:rsid w:val="00CB6E77"/>
    <w:rsid w:val="00D32642"/>
    <w:rsid w:val="00D33714"/>
    <w:rsid w:val="00D50042"/>
    <w:rsid w:val="00D64A54"/>
    <w:rsid w:val="00D812FA"/>
    <w:rsid w:val="00DB4229"/>
    <w:rsid w:val="00E05795"/>
    <w:rsid w:val="00E2190B"/>
    <w:rsid w:val="00E239D8"/>
    <w:rsid w:val="00E91013"/>
    <w:rsid w:val="00EA7F22"/>
    <w:rsid w:val="00EC5229"/>
    <w:rsid w:val="00F145E6"/>
    <w:rsid w:val="00F66835"/>
    <w:rsid w:val="00FC2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078A"/>
  <w15:docId w15:val="{E7B311EC-E856-43DB-8C16-E5A46255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D7B"/>
    <w:pPr>
      <w:spacing w:after="0" w:line="240" w:lineRule="auto"/>
    </w:pPr>
    <w:rPr>
      <w:rFonts w:ascii="Times New Roman" w:eastAsia="Times New Roman" w:hAnsi="Times New Roman" w:cs="Times New Roman"/>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20D7B"/>
    <w:pPr>
      <w:spacing w:after="120"/>
      <w:ind w:left="283"/>
    </w:pPr>
  </w:style>
  <w:style w:type="character" w:customStyle="1" w:styleId="a4">
    <w:name w:val="Основной текст с отступом Знак"/>
    <w:basedOn w:val="a0"/>
    <w:link w:val="a3"/>
    <w:rsid w:val="00720D7B"/>
    <w:rPr>
      <w:rFonts w:ascii="Times New Roman" w:eastAsia="Times New Roman" w:hAnsi="Times New Roman" w:cs="Times New Roman"/>
      <w:sz w:val="20"/>
      <w:szCs w:val="20"/>
      <w:lang w:eastAsia="ja-JP"/>
    </w:rPr>
  </w:style>
  <w:style w:type="character" w:customStyle="1" w:styleId="s1">
    <w:name w:val="s1"/>
    <w:basedOn w:val="a0"/>
    <w:rsid w:val="00720D7B"/>
  </w:style>
  <w:style w:type="character" w:styleId="a5">
    <w:name w:val="Strong"/>
    <w:qFormat/>
    <w:rsid w:val="00720D7B"/>
    <w:rPr>
      <w:b/>
      <w:bCs/>
    </w:rPr>
  </w:style>
  <w:style w:type="paragraph" w:customStyle="1" w:styleId="Default">
    <w:name w:val="Default"/>
    <w:rsid w:val="00720D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3"/>
    <w:basedOn w:val="a"/>
    <w:link w:val="30"/>
    <w:uiPriority w:val="99"/>
    <w:semiHidden/>
    <w:unhideWhenUsed/>
    <w:rsid w:val="00720D7B"/>
    <w:pPr>
      <w:spacing w:after="120"/>
    </w:pPr>
    <w:rPr>
      <w:sz w:val="16"/>
      <w:szCs w:val="16"/>
    </w:rPr>
  </w:style>
  <w:style w:type="character" w:customStyle="1" w:styleId="30">
    <w:name w:val="Основной текст 3 Знак"/>
    <w:basedOn w:val="a0"/>
    <w:link w:val="3"/>
    <w:uiPriority w:val="99"/>
    <w:semiHidden/>
    <w:rsid w:val="00720D7B"/>
    <w:rPr>
      <w:rFonts w:ascii="Times New Roman" w:eastAsia="Times New Roman" w:hAnsi="Times New Roman" w:cs="Times New Roman"/>
      <w:sz w:val="16"/>
      <w:szCs w:val="16"/>
      <w:lang w:eastAsia="ja-JP"/>
    </w:rPr>
  </w:style>
  <w:style w:type="paragraph" w:styleId="a6">
    <w:name w:val="List Paragraph"/>
    <w:basedOn w:val="a"/>
    <w:uiPriority w:val="34"/>
    <w:qFormat/>
    <w:rsid w:val="008B31FD"/>
    <w:pPr>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39"/>
    <w:rsid w:val="00C87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002C16"/>
    <w:pPr>
      <w:spacing w:before="100" w:beforeAutospacing="1" w:after="100" w:afterAutospacing="1"/>
    </w:pPr>
    <w:rPr>
      <w:sz w:val="24"/>
      <w:szCs w:val="24"/>
      <w:lang w:eastAsia="ru-RU"/>
    </w:rPr>
  </w:style>
  <w:style w:type="paragraph" w:styleId="a9">
    <w:name w:val="Balloon Text"/>
    <w:basedOn w:val="a"/>
    <w:link w:val="aa"/>
    <w:uiPriority w:val="99"/>
    <w:semiHidden/>
    <w:unhideWhenUsed/>
    <w:rsid w:val="00377E25"/>
    <w:rPr>
      <w:rFonts w:ascii="Segoe UI" w:hAnsi="Segoe UI" w:cs="Segoe UI"/>
      <w:sz w:val="18"/>
      <w:szCs w:val="18"/>
    </w:rPr>
  </w:style>
  <w:style w:type="character" w:customStyle="1" w:styleId="aa">
    <w:name w:val="Текст выноски Знак"/>
    <w:basedOn w:val="a0"/>
    <w:link w:val="a9"/>
    <w:uiPriority w:val="99"/>
    <w:semiHidden/>
    <w:rsid w:val="00377E25"/>
    <w:rPr>
      <w:rFonts w:ascii="Segoe UI" w:eastAsia="Times New Roman"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620876">
      <w:bodyDiv w:val="1"/>
      <w:marLeft w:val="0"/>
      <w:marRight w:val="0"/>
      <w:marTop w:val="0"/>
      <w:marBottom w:val="0"/>
      <w:divBdr>
        <w:top w:val="none" w:sz="0" w:space="0" w:color="auto"/>
        <w:left w:val="none" w:sz="0" w:space="0" w:color="auto"/>
        <w:bottom w:val="none" w:sz="0" w:space="0" w:color="auto"/>
        <w:right w:val="none" w:sz="0" w:space="0" w:color="auto"/>
      </w:divBdr>
    </w:div>
    <w:div w:id="696152934">
      <w:bodyDiv w:val="1"/>
      <w:marLeft w:val="0"/>
      <w:marRight w:val="0"/>
      <w:marTop w:val="0"/>
      <w:marBottom w:val="0"/>
      <w:divBdr>
        <w:top w:val="none" w:sz="0" w:space="0" w:color="auto"/>
        <w:left w:val="none" w:sz="0" w:space="0" w:color="auto"/>
        <w:bottom w:val="none" w:sz="0" w:space="0" w:color="auto"/>
        <w:right w:val="none" w:sz="0" w:space="0" w:color="auto"/>
      </w:divBdr>
    </w:div>
    <w:div w:id="1096512328">
      <w:bodyDiv w:val="1"/>
      <w:marLeft w:val="0"/>
      <w:marRight w:val="0"/>
      <w:marTop w:val="0"/>
      <w:marBottom w:val="0"/>
      <w:divBdr>
        <w:top w:val="none" w:sz="0" w:space="0" w:color="auto"/>
        <w:left w:val="none" w:sz="0" w:space="0" w:color="auto"/>
        <w:bottom w:val="none" w:sz="0" w:space="0" w:color="auto"/>
        <w:right w:val="none" w:sz="0" w:space="0" w:color="auto"/>
      </w:divBdr>
    </w:div>
    <w:div w:id="189616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KRU-3-315</cp:lastModifiedBy>
  <cp:revision>3</cp:revision>
  <cp:lastPrinted>2023-06-07T09:05:00Z</cp:lastPrinted>
  <dcterms:created xsi:type="dcterms:W3CDTF">2023-03-30T08:38:00Z</dcterms:created>
  <dcterms:modified xsi:type="dcterms:W3CDTF">2023-06-07T09:05:00Z</dcterms:modified>
</cp:coreProperties>
</file>