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03749" w14:textId="77777777" w:rsidR="00350720" w:rsidRDefault="00350720" w:rsidP="00B358C9">
      <w:pPr>
        <w:autoSpaceDE w:val="0"/>
        <w:autoSpaceDN w:val="0"/>
        <w:adjustRightInd w:val="0"/>
        <w:jc w:val="center"/>
        <w:rPr>
          <w:b/>
          <w:bCs/>
        </w:rPr>
      </w:pPr>
      <w:bookmarkStart w:id="0" w:name="_GoBack"/>
      <w:bookmarkEnd w:id="0"/>
    </w:p>
    <w:tbl>
      <w:tblPr>
        <w:tblW w:w="5151" w:type="pct"/>
        <w:tblCellMar>
          <w:left w:w="0" w:type="dxa"/>
          <w:right w:w="0" w:type="dxa"/>
        </w:tblCellMar>
        <w:tblLook w:val="00A0" w:firstRow="1" w:lastRow="0" w:firstColumn="1" w:lastColumn="0" w:noHBand="0" w:noVBand="0"/>
      </w:tblPr>
      <w:tblGrid>
        <w:gridCol w:w="4903"/>
        <w:gridCol w:w="4903"/>
      </w:tblGrid>
      <w:tr w:rsidR="00350720" w14:paraId="64AF5FCD" w14:textId="77777777" w:rsidTr="00350720">
        <w:tc>
          <w:tcPr>
            <w:tcW w:w="2500" w:type="pct"/>
            <w:tcMar>
              <w:top w:w="0" w:type="dxa"/>
              <w:left w:w="108" w:type="dxa"/>
              <w:bottom w:w="0" w:type="dxa"/>
              <w:right w:w="108" w:type="dxa"/>
            </w:tcMar>
            <w:hideMark/>
          </w:tcPr>
          <w:p w14:paraId="3E43276A" w14:textId="19F82006" w:rsidR="00350720" w:rsidRDefault="00350720">
            <w:pPr>
              <w:spacing w:line="276" w:lineRule="auto"/>
              <w:rPr>
                <w:color w:val="000000"/>
                <w:lang w:val="kk-KZ" w:eastAsia="ja-JP"/>
              </w:rPr>
            </w:pPr>
            <w:r>
              <w:rPr>
                <w:color w:val="000000"/>
                <w:lang w:val="kk-KZ" w:eastAsia="ja-JP"/>
              </w:rPr>
              <w:t>А.Байтұрсынов атындағы</w:t>
            </w:r>
          </w:p>
          <w:p w14:paraId="314BDE48" w14:textId="27D6D882" w:rsidR="00350720" w:rsidRDefault="00350720">
            <w:pPr>
              <w:spacing w:line="276" w:lineRule="auto"/>
              <w:rPr>
                <w:color w:val="000000"/>
                <w:lang w:val="kk-KZ" w:eastAsia="ja-JP"/>
              </w:rPr>
            </w:pPr>
            <w:r>
              <w:rPr>
                <w:color w:val="000000"/>
                <w:lang w:val="kk-KZ" w:eastAsia="ja-JP"/>
              </w:rPr>
              <w:t xml:space="preserve">Қостанай </w:t>
            </w:r>
            <w:r w:rsidR="004B716B" w:rsidRPr="006C4A95">
              <w:rPr>
                <w:color w:val="000000"/>
                <w:lang w:val="kk-KZ" w:eastAsia="ja-JP"/>
              </w:rPr>
              <w:t>өңірлік</w:t>
            </w:r>
          </w:p>
          <w:p w14:paraId="469B42A7" w14:textId="20DEAF4F" w:rsidR="00350720" w:rsidRDefault="00350720" w:rsidP="006615A0">
            <w:pPr>
              <w:spacing w:line="276" w:lineRule="auto"/>
              <w:rPr>
                <w:color w:val="000000"/>
                <w:lang w:eastAsia="ja-JP"/>
              </w:rPr>
            </w:pPr>
            <w:r>
              <w:rPr>
                <w:color w:val="000000"/>
                <w:lang w:val="kk-KZ" w:eastAsia="ja-JP"/>
              </w:rPr>
              <w:t>университеті</w:t>
            </w:r>
          </w:p>
        </w:tc>
        <w:tc>
          <w:tcPr>
            <w:tcW w:w="2500" w:type="pct"/>
            <w:tcMar>
              <w:top w:w="0" w:type="dxa"/>
              <w:left w:w="108" w:type="dxa"/>
              <w:bottom w:w="0" w:type="dxa"/>
              <w:right w:w="108" w:type="dxa"/>
            </w:tcMar>
            <w:hideMark/>
          </w:tcPr>
          <w:p w14:paraId="4D58D9FB" w14:textId="65485AC7" w:rsidR="00350720" w:rsidRDefault="00350720" w:rsidP="00BE4334">
            <w:pPr>
              <w:spacing w:line="276" w:lineRule="auto"/>
              <w:ind w:left="1027"/>
              <w:jc w:val="right"/>
              <w:rPr>
                <w:color w:val="000000"/>
                <w:lang w:val="kk-KZ" w:eastAsia="ja-JP"/>
              </w:rPr>
            </w:pPr>
            <w:r>
              <w:rPr>
                <w:color w:val="000000"/>
                <w:lang w:val="kk-KZ" w:eastAsia="ja-JP"/>
              </w:rPr>
              <w:t xml:space="preserve">Костанайский </w:t>
            </w:r>
            <w:r w:rsidR="00BE4334">
              <w:rPr>
                <w:color w:val="000000"/>
                <w:lang w:val="kk-KZ" w:eastAsia="ja-JP"/>
              </w:rPr>
              <w:t>региональный</w:t>
            </w:r>
            <w:r>
              <w:rPr>
                <w:color w:val="000000"/>
                <w:lang w:val="kk-KZ" w:eastAsia="ja-JP"/>
              </w:rPr>
              <w:t xml:space="preserve"> университет имени А.Байтурсынова»</w:t>
            </w:r>
          </w:p>
        </w:tc>
      </w:tr>
      <w:tr w:rsidR="00350720" w14:paraId="18A31D40" w14:textId="77777777" w:rsidTr="00350720">
        <w:tc>
          <w:tcPr>
            <w:tcW w:w="2500" w:type="pct"/>
            <w:tcMar>
              <w:top w:w="0" w:type="dxa"/>
              <w:left w:w="108" w:type="dxa"/>
              <w:bottom w:w="0" w:type="dxa"/>
              <w:right w:w="108" w:type="dxa"/>
            </w:tcMar>
            <w:hideMark/>
          </w:tcPr>
          <w:p w14:paraId="36FB31B6" w14:textId="77777777" w:rsidR="00350720" w:rsidRDefault="00350720">
            <w:pPr>
              <w:spacing w:after="120" w:line="276" w:lineRule="auto"/>
              <w:ind w:left="283"/>
              <w:rPr>
                <w:b/>
                <w:color w:val="000000"/>
                <w:lang w:eastAsia="ja-JP"/>
              </w:rPr>
            </w:pPr>
            <w:r>
              <w:rPr>
                <w:b/>
                <w:color w:val="000000"/>
                <w:lang w:eastAsia="ja-JP"/>
              </w:rPr>
              <w:t> </w:t>
            </w:r>
          </w:p>
        </w:tc>
        <w:tc>
          <w:tcPr>
            <w:tcW w:w="2500" w:type="pct"/>
            <w:tcMar>
              <w:top w:w="0" w:type="dxa"/>
              <w:left w:w="108" w:type="dxa"/>
              <w:bottom w:w="0" w:type="dxa"/>
              <w:right w:w="108" w:type="dxa"/>
            </w:tcMar>
            <w:hideMark/>
          </w:tcPr>
          <w:p w14:paraId="5DAEDEB8" w14:textId="77777777" w:rsidR="00350720" w:rsidRDefault="00350720">
            <w:pPr>
              <w:spacing w:after="120" w:line="276" w:lineRule="auto"/>
              <w:ind w:left="1027" w:firstLine="283"/>
              <w:jc w:val="right"/>
              <w:rPr>
                <w:b/>
                <w:color w:val="000000"/>
                <w:lang w:eastAsia="ja-JP"/>
              </w:rPr>
            </w:pPr>
            <w:r>
              <w:rPr>
                <w:b/>
                <w:color w:val="000000"/>
                <w:lang w:eastAsia="ja-JP"/>
              </w:rPr>
              <w:t> </w:t>
            </w:r>
          </w:p>
        </w:tc>
      </w:tr>
      <w:tr w:rsidR="00350720" w14:paraId="233A7D9C" w14:textId="77777777" w:rsidTr="00350720">
        <w:tc>
          <w:tcPr>
            <w:tcW w:w="2500" w:type="pct"/>
            <w:tcMar>
              <w:top w:w="0" w:type="dxa"/>
              <w:left w:w="108" w:type="dxa"/>
              <w:bottom w:w="0" w:type="dxa"/>
              <w:right w:w="108" w:type="dxa"/>
            </w:tcMar>
            <w:hideMark/>
          </w:tcPr>
          <w:p w14:paraId="44A5E303" w14:textId="77777777" w:rsidR="00350720" w:rsidRDefault="00350720">
            <w:pPr>
              <w:spacing w:line="276" w:lineRule="auto"/>
              <w:rPr>
                <w:b/>
                <w:color w:val="000000"/>
                <w:lang w:val="kk-KZ"/>
              </w:rPr>
            </w:pPr>
            <w:r>
              <w:rPr>
                <w:b/>
                <w:color w:val="000000"/>
                <w:lang w:val="kk-KZ"/>
              </w:rPr>
              <w:t>АНЫҚТАМА</w:t>
            </w:r>
          </w:p>
        </w:tc>
        <w:tc>
          <w:tcPr>
            <w:tcW w:w="2500" w:type="pct"/>
            <w:tcMar>
              <w:top w:w="0" w:type="dxa"/>
              <w:left w:w="108" w:type="dxa"/>
              <w:bottom w:w="0" w:type="dxa"/>
              <w:right w:w="108" w:type="dxa"/>
            </w:tcMar>
            <w:hideMark/>
          </w:tcPr>
          <w:p w14:paraId="2B02BDDC" w14:textId="77777777" w:rsidR="00350720" w:rsidRDefault="00350720">
            <w:pPr>
              <w:spacing w:line="276" w:lineRule="auto"/>
              <w:jc w:val="right"/>
              <w:rPr>
                <w:b/>
                <w:color w:val="000000"/>
                <w:lang w:val="kk-KZ"/>
              </w:rPr>
            </w:pPr>
            <w:r>
              <w:rPr>
                <w:b/>
                <w:color w:val="000000"/>
              </w:rPr>
              <w:t xml:space="preserve">               СПРАВКА</w:t>
            </w:r>
          </w:p>
        </w:tc>
      </w:tr>
      <w:tr w:rsidR="00350720" w14:paraId="0646E11E" w14:textId="77777777" w:rsidTr="00350720">
        <w:tc>
          <w:tcPr>
            <w:tcW w:w="2500" w:type="pct"/>
            <w:tcMar>
              <w:top w:w="0" w:type="dxa"/>
              <w:left w:w="108" w:type="dxa"/>
              <w:bottom w:w="0" w:type="dxa"/>
              <w:right w:w="108" w:type="dxa"/>
            </w:tcMar>
            <w:hideMark/>
          </w:tcPr>
          <w:p w14:paraId="15F1979A" w14:textId="77777777" w:rsidR="00350720" w:rsidRDefault="00350720">
            <w:pPr>
              <w:spacing w:line="276" w:lineRule="auto"/>
              <w:rPr>
                <w:lang w:val="kk-KZ"/>
              </w:rPr>
            </w:pPr>
            <w:r>
              <w:rPr>
                <w:lang w:val="kk-KZ"/>
              </w:rPr>
              <w:t>ғылыми кеңес отырысына</w:t>
            </w:r>
          </w:p>
        </w:tc>
        <w:tc>
          <w:tcPr>
            <w:tcW w:w="2500" w:type="pct"/>
            <w:tcMar>
              <w:top w:w="0" w:type="dxa"/>
              <w:left w:w="108" w:type="dxa"/>
              <w:bottom w:w="0" w:type="dxa"/>
              <w:right w:w="108" w:type="dxa"/>
            </w:tcMar>
            <w:hideMark/>
          </w:tcPr>
          <w:p w14:paraId="70519ED2" w14:textId="77777777" w:rsidR="00350720" w:rsidRDefault="00350720">
            <w:pPr>
              <w:tabs>
                <w:tab w:val="left" w:pos="1027"/>
              </w:tabs>
              <w:spacing w:line="276" w:lineRule="auto"/>
              <w:jc w:val="right"/>
              <w:rPr>
                <w:lang w:val="kk-KZ"/>
              </w:rPr>
            </w:pPr>
            <w:r>
              <w:rPr>
                <w:lang w:val="kk-KZ"/>
              </w:rPr>
              <w:t>на заседание ученого совета</w:t>
            </w:r>
          </w:p>
        </w:tc>
      </w:tr>
      <w:tr w:rsidR="00350720" w14:paraId="6D37CEF0" w14:textId="77777777" w:rsidTr="00350720">
        <w:tc>
          <w:tcPr>
            <w:tcW w:w="2500" w:type="pct"/>
            <w:tcMar>
              <w:top w:w="0" w:type="dxa"/>
              <w:left w:w="108" w:type="dxa"/>
              <w:bottom w:w="0" w:type="dxa"/>
              <w:right w:w="108" w:type="dxa"/>
            </w:tcMar>
            <w:hideMark/>
          </w:tcPr>
          <w:p w14:paraId="6836F511" w14:textId="0A431508" w:rsidR="00350720" w:rsidRDefault="00F839F6" w:rsidP="00573118">
            <w:pPr>
              <w:spacing w:after="120" w:line="276" w:lineRule="auto"/>
              <w:ind w:left="283" w:hanging="283"/>
              <w:rPr>
                <w:color w:val="000000"/>
                <w:lang w:val="kk-KZ" w:eastAsia="ja-JP"/>
              </w:rPr>
            </w:pPr>
            <w:r>
              <w:rPr>
                <w:color w:val="000000"/>
                <w:lang w:val="kk-KZ" w:eastAsia="ja-JP"/>
              </w:rPr>
              <w:t>1</w:t>
            </w:r>
            <w:r w:rsidR="00573118">
              <w:rPr>
                <w:color w:val="000000"/>
                <w:lang w:val="kk-KZ" w:eastAsia="ja-JP"/>
              </w:rPr>
              <w:t>8</w:t>
            </w:r>
            <w:r w:rsidR="00350720">
              <w:rPr>
                <w:color w:val="000000"/>
                <w:lang w:eastAsia="ja-JP"/>
              </w:rPr>
              <w:t>.0</w:t>
            </w:r>
            <w:r w:rsidR="006615A0">
              <w:rPr>
                <w:color w:val="000000"/>
                <w:lang w:val="en-US" w:eastAsia="ja-JP"/>
              </w:rPr>
              <w:t>1</w:t>
            </w:r>
            <w:r w:rsidR="00350720">
              <w:rPr>
                <w:color w:val="000000"/>
                <w:lang w:eastAsia="ja-JP"/>
              </w:rPr>
              <w:t>.20</w:t>
            </w:r>
            <w:r w:rsidR="006615A0">
              <w:rPr>
                <w:color w:val="000000"/>
                <w:lang w:val="en-US" w:eastAsia="ja-JP"/>
              </w:rPr>
              <w:t>2</w:t>
            </w:r>
            <w:r w:rsidR="00FE67B8">
              <w:rPr>
                <w:color w:val="000000"/>
                <w:lang w:eastAsia="ja-JP"/>
              </w:rPr>
              <w:t>3</w:t>
            </w:r>
            <w:r w:rsidR="00350720">
              <w:rPr>
                <w:color w:val="000000"/>
                <w:lang w:val="kk-KZ" w:eastAsia="ja-JP"/>
              </w:rPr>
              <w:t xml:space="preserve"> ж.</w:t>
            </w:r>
          </w:p>
        </w:tc>
        <w:tc>
          <w:tcPr>
            <w:tcW w:w="2500" w:type="pct"/>
            <w:tcMar>
              <w:top w:w="0" w:type="dxa"/>
              <w:left w:w="108" w:type="dxa"/>
              <w:bottom w:w="0" w:type="dxa"/>
              <w:right w:w="108" w:type="dxa"/>
            </w:tcMar>
            <w:hideMark/>
          </w:tcPr>
          <w:p w14:paraId="1F647DB8" w14:textId="4121F922" w:rsidR="00350720" w:rsidRDefault="00F839F6" w:rsidP="00FE67B8">
            <w:pPr>
              <w:spacing w:after="120" w:line="276" w:lineRule="auto"/>
              <w:ind w:left="283"/>
              <w:jc w:val="right"/>
              <w:rPr>
                <w:color w:val="000000"/>
                <w:lang w:val="kk-KZ" w:eastAsia="ja-JP"/>
              </w:rPr>
            </w:pPr>
            <w:r>
              <w:rPr>
                <w:color w:val="000000"/>
                <w:lang w:val="kk-KZ" w:eastAsia="ja-JP"/>
              </w:rPr>
              <w:t>1</w:t>
            </w:r>
            <w:r w:rsidR="00573118">
              <w:rPr>
                <w:color w:val="000000"/>
                <w:lang w:val="kk-KZ" w:eastAsia="ja-JP"/>
              </w:rPr>
              <w:t>8</w:t>
            </w:r>
            <w:r w:rsidR="006615A0">
              <w:rPr>
                <w:color w:val="000000"/>
                <w:lang w:val="en-US" w:eastAsia="ja-JP"/>
              </w:rPr>
              <w:t>.</w:t>
            </w:r>
            <w:r w:rsidR="00350720">
              <w:rPr>
                <w:color w:val="000000"/>
                <w:lang w:val="kk-KZ" w:eastAsia="ja-JP"/>
              </w:rPr>
              <w:t>0</w:t>
            </w:r>
            <w:r w:rsidR="006615A0">
              <w:rPr>
                <w:color w:val="000000"/>
                <w:lang w:val="en-US" w:eastAsia="ja-JP"/>
              </w:rPr>
              <w:t>1</w:t>
            </w:r>
            <w:r w:rsidR="00350720">
              <w:rPr>
                <w:color w:val="000000"/>
                <w:lang w:val="kk-KZ" w:eastAsia="ja-JP"/>
              </w:rPr>
              <w:t>.20</w:t>
            </w:r>
            <w:r w:rsidR="006615A0">
              <w:rPr>
                <w:color w:val="000000"/>
                <w:lang w:val="en-US" w:eastAsia="ja-JP"/>
              </w:rPr>
              <w:t>2</w:t>
            </w:r>
            <w:r w:rsidR="00FE67B8">
              <w:rPr>
                <w:color w:val="000000"/>
                <w:lang w:eastAsia="ja-JP"/>
              </w:rPr>
              <w:t>3</w:t>
            </w:r>
            <w:r w:rsidR="00350720">
              <w:rPr>
                <w:color w:val="000000"/>
                <w:lang w:val="kk-KZ" w:eastAsia="ja-JP"/>
              </w:rPr>
              <w:t xml:space="preserve"> г.</w:t>
            </w:r>
          </w:p>
        </w:tc>
      </w:tr>
      <w:tr w:rsidR="00350720" w14:paraId="419DEDC5" w14:textId="77777777" w:rsidTr="00350720">
        <w:tc>
          <w:tcPr>
            <w:tcW w:w="2500" w:type="pct"/>
            <w:tcMar>
              <w:top w:w="0" w:type="dxa"/>
              <w:left w:w="108" w:type="dxa"/>
              <w:bottom w:w="0" w:type="dxa"/>
              <w:right w:w="108" w:type="dxa"/>
            </w:tcMar>
            <w:hideMark/>
          </w:tcPr>
          <w:p w14:paraId="110AB7E3" w14:textId="77777777" w:rsidR="00350720" w:rsidRDefault="00350720">
            <w:pPr>
              <w:spacing w:line="276" w:lineRule="auto"/>
              <w:rPr>
                <w:color w:val="000000"/>
              </w:rPr>
            </w:pPr>
            <w:r>
              <w:rPr>
                <w:color w:val="000000"/>
                <w:lang w:val="kk-KZ"/>
              </w:rPr>
              <w:t>Қостанай қаласы</w:t>
            </w:r>
          </w:p>
        </w:tc>
        <w:tc>
          <w:tcPr>
            <w:tcW w:w="2500" w:type="pct"/>
            <w:tcMar>
              <w:top w:w="0" w:type="dxa"/>
              <w:left w:w="108" w:type="dxa"/>
              <w:bottom w:w="0" w:type="dxa"/>
              <w:right w:w="108" w:type="dxa"/>
            </w:tcMar>
            <w:hideMark/>
          </w:tcPr>
          <w:p w14:paraId="633D4C1D" w14:textId="77777777" w:rsidR="00350720" w:rsidRDefault="00350720">
            <w:pPr>
              <w:spacing w:after="120" w:line="276" w:lineRule="auto"/>
              <w:ind w:left="283"/>
              <w:jc w:val="right"/>
              <w:rPr>
                <w:color w:val="000000"/>
                <w:lang w:eastAsia="ja-JP"/>
              </w:rPr>
            </w:pPr>
            <w:r>
              <w:rPr>
                <w:color w:val="000000"/>
                <w:lang w:val="kk-KZ" w:eastAsia="ja-JP"/>
              </w:rPr>
              <w:t xml:space="preserve">          город Костанай</w:t>
            </w:r>
          </w:p>
        </w:tc>
      </w:tr>
    </w:tbl>
    <w:p w14:paraId="62B7745C" w14:textId="77777777" w:rsidR="00350720" w:rsidRDefault="00350720" w:rsidP="00350720">
      <w:pPr>
        <w:spacing w:before="120"/>
        <w:jc w:val="both"/>
        <w:rPr>
          <w:color w:val="000000"/>
          <w:lang w:val="en-US"/>
        </w:rPr>
      </w:pPr>
    </w:p>
    <w:p w14:paraId="7F25D95C" w14:textId="31F13CA4" w:rsidR="00350720" w:rsidRDefault="00FE67B8" w:rsidP="00350720">
      <w:pPr>
        <w:autoSpaceDE w:val="0"/>
        <w:autoSpaceDN w:val="0"/>
        <w:adjustRightInd w:val="0"/>
        <w:rPr>
          <w:b/>
          <w:bCs/>
          <w:i/>
          <w:lang w:val="kk-KZ"/>
        </w:rPr>
      </w:pPr>
      <w:r>
        <w:rPr>
          <w:b/>
          <w:bCs/>
          <w:i/>
        </w:rPr>
        <w:t xml:space="preserve">Об установлении переводных баллов </w:t>
      </w:r>
      <w:r>
        <w:rPr>
          <w:b/>
          <w:bCs/>
          <w:i/>
          <w:lang w:val="en-US"/>
        </w:rPr>
        <w:t>GPA</w:t>
      </w:r>
    </w:p>
    <w:p w14:paraId="01E814EA" w14:textId="1673003A" w:rsidR="00367B78" w:rsidRPr="00367B78" w:rsidRDefault="00367B78" w:rsidP="00615524">
      <w:pPr>
        <w:autoSpaceDE w:val="0"/>
        <w:autoSpaceDN w:val="0"/>
        <w:adjustRightInd w:val="0"/>
        <w:rPr>
          <w:b/>
          <w:bCs/>
          <w:i/>
          <w:lang w:val="kk-KZ"/>
        </w:rPr>
      </w:pPr>
      <w:r>
        <w:rPr>
          <w:b/>
          <w:bCs/>
          <w:i/>
          <w:lang w:val="kk-KZ"/>
        </w:rPr>
        <w:t xml:space="preserve">для перевода на следующий курс </w:t>
      </w:r>
    </w:p>
    <w:p w14:paraId="6A10A9B6" w14:textId="77777777" w:rsidR="00350720" w:rsidRPr="00350720" w:rsidRDefault="00350720" w:rsidP="00B358C9">
      <w:pPr>
        <w:autoSpaceDE w:val="0"/>
        <w:autoSpaceDN w:val="0"/>
        <w:adjustRightInd w:val="0"/>
        <w:jc w:val="center"/>
        <w:rPr>
          <w:b/>
          <w:bCs/>
          <w:i/>
        </w:rPr>
      </w:pPr>
    </w:p>
    <w:p w14:paraId="322D3C76" w14:textId="49BBF211" w:rsidR="00FE67B8" w:rsidRPr="00067099" w:rsidRDefault="00067099" w:rsidP="00067099">
      <w:pPr>
        <w:pStyle w:val="a4"/>
        <w:numPr>
          <w:ilvl w:val="0"/>
          <w:numId w:val="21"/>
        </w:numPr>
        <w:jc w:val="both"/>
        <w:rPr>
          <w:b/>
          <w:i/>
        </w:rPr>
      </w:pPr>
      <w:r w:rsidRPr="00067099">
        <w:rPr>
          <w:b/>
          <w:i/>
        </w:rPr>
        <w:t>Нормы перевода на следу</w:t>
      </w:r>
      <w:r w:rsidR="00CD7783">
        <w:rPr>
          <w:b/>
          <w:i/>
        </w:rPr>
        <w:t>ющий курс, действовавшие до 2020</w:t>
      </w:r>
      <w:r w:rsidRPr="00067099">
        <w:rPr>
          <w:b/>
          <w:i/>
        </w:rPr>
        <w:t xml:space="preserve"> года.</w:t>
      </w:r>
    </w:p>
    <w:p w14:paraId="0C754A12" w14:textId="77777777" w:rsidR="00FE67B8" w:rsidRDefault="00FE67B8" w:rsidP="00DD2F55">
      <w:pPr>
        <w:ind w:firstLine="567"/>
        <w:jc w:val="both"/>
        <w:rPr>
          <w:i/>
        </w:rPr>
      </w:pPr>
    </w:p>
    <w:p w14:paraId="6F83C7F1" w14:textId="4BF67435" w:rsidR="000F5BAC" w:rsidRDefault="00C73A55" w:rsidP="00C73A55">
      <w:pPr>
        <w:jc w:val="both"/>
      </w:pPr>
      <w:r w:rsidRPr="00C73A55">
        <w:rPr>
          <w:b/>
          <w:u w:val="single"/>
        </w:rPr>
        <w:t>До 2020 года</w:t>
      </w:r>
      <w:r>
        <w:t xml:space="preserve">. </w:t>
      </w:r>
      <w:r w:rsidR="004042F1">
        <w:t xml:space="preserve">До объединения КГУ </w:t>
      </w:r>
      <w:proofErr w:type="spellStart"/>
      <w:r w:rsidR="004042F1">
        <w:t>им.Байтурсынова</w:t>
      </w:r>
      <w:proofErr w:type="spellEnd"/>
      <w:r w:rsidR="004042F1">
        <w:t xml:space="preserve"> и КГП</w:t>
      </w:r>
      <w:r w:rsidR="0096694D">
        <w:t>У</w:t>
      </w:r>
      <w:r w:rsidR="004042F1">
        <w:t xml:space="preserve"> им. У.Султангазина оба вуза при переводе обучающихся на следующий курс </w:t>
      </w:r>
      <w:r w:rsidR="000F5BAC">
        <w:t>руководствовались</w:t>
      </w:r>
      <w:r w:rsidR="0019666F">
        <w:t xml:space="preserve"> переводными значениями среднего балла успеваемости </w:t>
      </w:r>
      <w:r w:rsidR="0019666F" w:rsidRPr="00C73A55">
        <w:rPr>
          <w:lang w:val="en-US"/>
        </w:rPr>
        <w:t>GPA</w:t>
      </w:r>
      <w:r w:rsidR="000F5BAC">
        <w:t>.</w:t>
      </w:r>
    </w:p>
    <w:p w14:paraId="334CD485" w14:textId="47BB5375" w:rsidR="0096694D" w:rsidRPr="0096694D" w:rsidRDefault="0096694D" w:rsidP="0096694D">
      <w:pPr>
        <w:ind w:firstLine="567"/>
        <w:jc w:val="both"/>
      </w:pPr>
      <w:proofErr w:type="gramStart"/>
      <w:r w:rsidRPr="0096694D">
        <w:rPr>
          <w:bCs/>
        </w:rPr>
        <w:t>В  КГУ</w:t>
      </w:r>
      <w:proofErr w:type="gramEnd"/>
      <w:r w:rsidRPr="0096694D">
        <w:rPr>
          <w:bCs/>
        </w:rPr>
        <w:t xml:space="preserve"> по решению ученого совета от 18.01.2013 г. протокол №1 </w:t>
      </w:r>
      <w:r>
        <w:rPr>
          <w:bCs/>
        </w:rPr>
        <w:t xml:space="preserve">были установлены переводные </w:t>
      </w:r>
      <w:r>
        <w:rPr>
          <w:bCs/>
          <w:lang w:val="en-US"/>
        </w:rPr>
        <w:t>GPA</w:t>
      </w:r>
      <w:r w:rsidRPr="0096694D">
        <w:rPr>
          <w:bCs/>
        </w:rPr>
        <w:t xml:space="preserve"> </w:t>
      </w:r>
      <w:r>
        <w:rPr>
          <w:bCs/>
        </w:rPr>
        <w:t>курса которые действовали до конца 2020 года  (таблица 1)</w:t>
      </w:r>
    </w:p>
    <w:p w14:paraId="17A8E62D" w14:textId="77777777" w:rsidR="000F5BAC" w:rsidRDefault="000F5BAC" w:rsidP="00DD2F55">
      <w:pPr>
        <w:ind w:firstLine="567"/>
        <w:jc w:val="both"/>
      </w:pPr>
    </w:p>
    <w:p w14:paraId="64212857" w14:textId="51E633E8" w:rsidR="0096694D" w:rsidRDefault="0096694D" w:rsidP="0096694D">
      <w:pPr>
        <w:ind w:firstLine="567"/>
        <w:jc w:val="both"/>
      </w:pPr>
      <w:r>
        <w:t>Таблица 1 – Условия перевода на следующий курс, действующие  до 2020 года</w:t>
      </w:r>
    </w:p>
    <w:p w14:paraId="11AA15C7" w14:textId="77777777" w:rsidR="0096694D" w:rsidRDefault="0096694D" w:rsidP="00DD2F55">
      <w:pPr>
        <w:ind w:firstLine="567"/>
        <w:jc w:val="both"/>
      </w:pPr>
    </w:p>
    <w:tbl>
      <w:tblPr>
        <w:tblStyle w:val="a5"/>
        <w:tblW w:w="0" w:type="auto"/>
        <w:tblInd w:w="534" w:type="dxa"/>
        <w:tblLook w:val="04A0" w:firstRow="1" w:lastRow="0" w:firstColumn="1" w:lastColumn="0" w:noHBand="0" w:noVBand="1"/>
      </w:tblPr>
      <w:tblGrid>
        <w:gridCol w:w="2802"/>
        <w:gridCol w:w="2976"/>
        <w:gridCol w:w="2976"/>
      </w:tblGrid>
      <w:tr w:rsidR="0096694D" w14:paraId="45C8DA2B" w14:textId="407FDDC7" w:rsidTr="0017055A">
        <w:tc>
          <w:tcPr>
            <w:tcW w:w="2802" w:type="dxa"/>
          </w:tcPr>
          <w:p w14:paraId="3DAD83B4" w14:textId="77777777" w:rsidR="0096694D" w:rsidRDefault="0096694D" w:rsidP="00DD2F55">
            <w:pPr>
              <w:jc w:val="both"/>
            </w:pPr>
          </w:p>
        </w:tc>
        <w:tc>
          <w:tcPr>
            <w:tcW w:w="2976" w:type="dxa"/>
          </w:tcPr>
          <w:p w14:paraId="44A26B47" w14:textId="04EC75EA" w:rsidR="0096694D" w:rsidRDefault="0096694D" w:rsidP="000F5BAC">
            <w:pPr>
              <w:jc w:val="both"/>
            </w:pPr>
            <w:r>
              <w:t xml:space="preserve">КГУ </w:t>
            </w:r>
            <w:proofErr w:type="spellStart"/>
            <w:r>
              <w:t>им.А.Байтурсынова</w:t>
            </w:r>
            <w:proofErr w:type="spellEnd"/>
          </w:p>
        </w:tc>
        <w:tc>
          <w:tcPr>
            <w:tcW w:w="2976" w:type="dxa"/>
          </w:tcPr>
          <w:p w14:paraId="046BF06A" w14:textId="0F38DCEB" w:rsidR="0096694D" w:rsidRPr="00264FD6" w:rsidRDefault="0096694D" w:rsidP="0096694D">
            <w:pPr>
              <w:jc w:val="both"/>
            </w:pPr>
            <w:r w:rsidRPr="00264FD6">
              <w:t xml:space="preserve">КГПУ </w:t>
            </w:r>
            <w:proofErr w:type="spellStart"/>
            <w:r w:rsidRPr="00264FD6">
              <w:t>им.У.Султангазина</w:t>
            </w:r>
            <w:proofErr w:type="spellEnd"/>
          </w:p>
        </w:tc>
      </w:tr>
      <w:tr w:rsidR="0096694D" w14:paraId="3303D424" w14:textId="3BF2D32C" w:rsidTr="0017055A">
        <w:tc>
          <w:tcPr>
            <w:tcW w:w="2802" w:type="dxa"/>
          </w:tcPr>
          <w:p w14:paraId="45668E2B" w14:textId="2E8CFED1" w:rsidR="0096694D" w:rsidRPr="000F5BAC" w:rsidRDefault="0096694D" w:rsidP="00DD2F55">
            <w:pPr>
              <w:jc w:val="both"/>
              <w:rPr>
                <w:b/>
              </w:rPr>
            </w:pPr>
            <w:r w:rsidRPr="000F5BAC">
              <w:rPr>
                <w:b/>
              </w:rPr>
              <w:t>БАКАЛАВРИАТ:</w:t>
            </w:r>
          </w:p>
        </w:tc>
        <w:tc>
          <w:tcPr>
            <w:tcW w:w="2976" w:type="dxa"/>
          </w:tcPr>
          <w:p w14:paraId="0A68ECB4" w14:textId="28C8EEF1" w:rsidR="0096694D" w:rsidRPr="000F5BAC" w:rsidRDefault="0096694D" w:rsidP="000F5BAC">
            <w:pPr>
              <w:jc w:val="center"/>
              <w:rPr>
                <w:b/>
              </w:rPr>
            </w:pPr>
            <w:r w:rsidRPr="000F5BAC">
              <w:rPr>
                <w:b/>
                <w:lang w:val="en-US"/>
              </w:rPr>
              <w:t xml:space="preserve">GPA </w:t>
            </w:r>
            <w:r w:rsidRPr="000F5BAC">
              <w:rPr>
                <w:b/>
              </w:rPr>
              <w:t>курса</w:t>
            </w:r>
          </w:p>
        </w:tc>
        <w:tc>
          <w:tcPr>
            <w:tcW w:w="2976" w:type="dxa"/>
          </w:tcPr>
          <w:p w14:paraId="6D9C0F74" w14:textId="214A3771" w:rsidR="0096694D" w:rsidRPr="00264FD6" w:rsidRDefault="00264FD6" w:rsidP="000F5BAC">
            <w:pPr>
              <w:jc w:val="center"/>
              <w:rPr>
                <w:b/>
                <w:lang w:val="en-US"/>
              </w:rPr>
            </w:pPr>
            <w:r w:rsidRPr="00264FD6">
              <w:rPr>
                <w:b/>
                <w:lang w:val="en-US"/>
              </w:rPr>
              <w:t xml:space="preserve">GPA </w:t>
            </w:r>
            <w:r w:rsidRPr="00264FD6">
              <w:rPr>
                <w:b/>
              </w:rPr>
              <w:t>курса</w:t>
            </w:r>
          </w:p>
        </w:tc>
      </w:tr>
      <w:tr w:rsidR="0096694D" w14:paraId="2499BF69" w14:textId="1709D87E" w:rsidTr="0017055A">
        <w:tc>
          <w:tcPr>
            <w:tcW w:w="2802" w:type="dxa"/>
          </w:tcPr>
          <w:p w14:paraId="2B196074" w14:textId="2FF727C7" w:rsidR="0096694D" w:rsidRPr="000F5BAC" w:rsidRDefault="0096694D" w:rsidP="00DD2F55">
            <w:pPr>
              <w:jc w:val="both"/>
            </w:pPr>
            <w:r>
              <w:rPr>
                <w:bCs/>
              </w:rPr>
              <w:t>с</w:t>
            </w:r>
            <w:r w:rsidRPr="000F5BAC">
              <w:rPr>
                <w:bCs/>
              </w:rPr>
              <w:t xml:space="preserve"> 1 курса на 2 курс</w:t>
            </w:r>
          </w:p>
        </w:tc>
        <w:tc>
          <w:tcPr>
            <w:tcW w:w="2976" w:type="dxa"/>
          </w:tcPr>
          <w:p w14:paraId="07961B16" w14:textId="166D8BF6" w:rsidR="0096694D" w:rsidRDefault="0096694D" w:rsidP="000F5BAC">
            <w:pPr>
              <w:jc w:val="center"/>
            </w:pPr>
            <w:r>
              <w:t>1,33</w:t>
            </w:r>
          </w:p>
        </w:tc>
        <w:tc>
          <w:tcPr>
            <w:tcW w:w="2976" w:type="dxa"/>
          </w:tcPr>
          <w:p w14:paraId="6FC31D48" w14:textId="2E1C9D36" w:rsidR="0096694D" w:rsidRPr="00264FD6" w:rsidRDefault="00264FD6" w:rsidP="000F5BAC">
            <w:pPr>
              <w:jc w:val="center"/>
              <w:rPr>
                <w:lang w:val="en-US"/>
              </w:rPr>
            </w:pPr>
            <w:r w:rsidRPr="00264FD6">
              <w:rPr>
                <w:lang w:val="en-US"/>
              </w:rPr>
              <w:t>1.5</w:t>
            </w:r>
          </w:p>
        </w:tc>
      </w:tr>
      <w:tr w:rsidR="0096694D" w14:paraId="28A891DA" w14:textId="2B47463F" w:rsidTr="0017055A">
        <w:tc>
          <w:tcPr>
            <w:tcW w:w="2802" w:type="dxa"/>
          </w:tcPr>
          <w:p w14:paraId="6C790B2F" w14:textId="725ECD1F" w:rsidR="0096694D" w:rsidRPr="000F5BAC" w:rsidRDefault="0096694D" w:rsidP="000F5BAC">
            <w:pPr>
              <w:jc w:val="both"/>
            </w:pPr>
            <w:r>
              <w:rPr>
                <w:bCs/>
              </w:rPr>
              <w:t>с</w:t>
            </w:r>
            <w:r w:rsidRPr="000F5BAC">
              <w:rPr>
                <w:bCs/>
              </w:rPr>
              <w:t xml:space="preserve"> 2 курса на 3 курс</w:t>
            </w:r>
          </w:p>
        </w:tc>
        <w:tc>
          <w:tcPr>
            <w:tcW w:w="2976" w:type="dxa"/>
          </w:tcPr>
          <w:p w14:paraId="7AAF0D92" w14:textId="1D2B27CA" w:rsidR="0096694D" w:rsidRDefault="0096694D" w:rsidP="000F5BAC">
            <w:pPr>
              <w:jc w:val="center"/>
            </w:pPr>
            <w:r>
              <w:t>1,67</w:t>
            </w:r>
          </w:p>
        </w:tc>
        <w:tc>
          <w:tcPr>
            <w:tcW w:w="2976" w:type="dxa"/>
          </w:tcPr>
          <w:p w14:paraId="685EB8B9" w14:textId="1AC7EF5F" w:rsidR="0096694D" w:rsidRPr="00264FD6" w:rsidRDefault="00264FD6" w:rsidP="000F5BAC">
            <w:pPr>
              <w:jc w:val="center"/>
              <w:rPr>
                <w:lang w:val="en-US"/>
              </w:rPr>
            </w:pPr>
            <w:r w:rsidRPr="00264FD6">
              <w:rPr>
                <w:lang w:val="en-US"/>
              </w:rPr>
              <w:t>1.7</w:t>
            </w:r>
          </w:p>
        </w:tc>
      </w:tr>
      <w:tr w:rsidR="0096694D" w14:paraId="6171BCD1" w14:textId="14E1893F" w:rsidTr="0017055A">
        <w:tc>
          <w:tcPr>
            <w:tcW w:w="2802" w:type="dxa"/>
          </w:tcPr>
          <w:p w14:paraId="1DF6B57F" w14:textId="4B017616" w:rsidR="0096694D" w:rsidRPr="000F5BAC" w:rsidRDefault="0096694D" w:rsidP="000F5BAC">
            <w:pPr>
              <w:jc w:val="both"/>
              <w:rPr>
                <w:bCs/>
              </w:rPr>
            </w:pPr>
            <w:r>
              <w:rPr>
                <w:bCs/>
              </w:rPr>
              <w:t>с</w:t>
            </w:r>
            <w:r w:rsidRPr="000F5BAC">
              <w:rPr>
                <w:bCs/>
              </w:rPr>
              <w:t xml:space="preserve"> 3 курса на 4 курс</w:t>
            </w:r>
          </w:p>
        </w:tc>
        <w:tc>
          <w:tcPr>
            <w:tcW w:w="2976" w:type="dxa"/>
          </w:tcPr>
          <w:p w14:paraId="1C9D8130" w14:textId="4761F0FF" w:rsidR="0096694D" w:rsidRDefault="0096694D" w:rsidP="000F5BAC">
            <w:pPr>
              <w:jc w:val="center"/>
            </w:pPr>
            <w:r>
              <w:t>2,0</w:t>
            </w:r>
          </w:p>
        </w:tc>
        <w:tc>
          <w:tcPr>
            <w:tcW w:w="2976" w:type="dxa"/>
          </w:tcPr>
          <w:p w14:paraId="2B5AE8EA" w14:textId="0336D653" w:rsidR="0096694D" w:rsidRPr="00264FD6" w:rsidRDefault="00264FD6" w:rsidP="000F5BAC">
            <w:pPr>
              <w:jc w:val="center"/>
              <w:rPr>
                <w:lang w:val="en-US"/>
              </w:rPr>
            </w:pPr>
            <w:r w:rsidRPr="00264FD6">
              <w:rPr>
                <w:lang w:val="en-US"/>
              </w:rPr>
              <w:t>2.0</w:t>
            </w:r>
          </w:p>
        </w:tc>
      </w:tr>
      <w:tr w:rsidR="0096694D" w14:paraId="0F3F977B" w14:textId="59A6273B" w:rsidTr="0017055A">
        <w:tc>
          <w:tcPr>
            <w:tcW w:w="2802" w:type="dxa"/>
          </w:tcPr>
          <w:p w14:paraId="6CBB30AA" w14:textId="55958D87" w:rsidR="0096694D" w:rsidRPr="000F5BAC" w:rsidRDefault="0096694D" w:rsidP="000F5BAC">
            <w:pPr>
              <w:jc w:val="both"/>
              <w:rPr>
                <w:bCs/>
              </w:rPr>
            </w:pPr>
            <w:r>
              <w:rPr>
                <w:bCs/>
              </w:rPr>
              <w:t>с</w:t>
            </w:r>
            <w:r w:rsidRPr="000F5BAC">
              <w:rPr>
                <w:bCs/>
              </w:rPr>
              <w:t xml:space="preserve"> 4 на 5 курс</w:t>
            </w:r>
          </w:p>
        </w:tc>
        <w:tc>
          <w:tcPr>
            <w:tcW w:w="2976" w:type="dxa"/>
          </w:tcPr>
          <w:p w14:paraId="6446E803" w14:textId="71F08028" w:rsidR="0096694D" w:rsidRDefault="0096694D" w:rsidP="000F5BAC">
            <w:pPr>
              <w:jc w:val="center"/>
            </w:pPr>
            <w:r>
              <w:t>2,0</w:t>
            </w:r>
          </w:p>
        </w:tc>
        <w:tc>
          <w:tcPr>
            <w:tcW w:w="2976" w:type="dxa"/>
          </w:tcPr>
          <w:p w14:paraId="563BF48C" w14:textId="01DA4884" w:rsidR="0096694D" w:rsidRPr="00264FD6" w:rsidRDefault="00264FD6" w:rsidP="000F5BAC">
            <w:pPr>
              <w:jc w:val="center"/>
              <w:rPr>
                <w:lang w:val="en-US"/>
              </w:rPr>
            </w:pPr>
            <w:r>
              <w:rPr>
                <w:lang w:val="en-US"/>
              </w:rPr>
              <w:t>-</w:t>
            </w:r>
          </w:p>
        </w:tc>
      </w:tr>
      <w:tr w:rsidR="0096694D" w14:paraId="43BB791A" w14:textId="55219133" w:rsidTr="0017055A">
        <w:tc>
          <w:tcPr>
            <w:tcW w:w="2802" w:type="dxa"/>
          </w:tcPr>
          <w:p w14:paraId="365D99B2" w14:textId="4759655C" w:rsidR="0096694D" w:rsidRPr="000F5BAC" w:rsidRDefault="0096694D" w:rsidP="000F5BAC">
            <w:pPr>
              <w:jc w:val="both"/>
              <w:rPr>
                <w:b/>
                <w:bCs/>
              </w:rPr>
            </w:pPr>
            <w:r w:rsidRPr="000F5BAC">
              <w:rPr>
                <w:b/>
                <w:bCs/>
              </w:rPr>
              <w:t>МАГИСТРАТУРА и ДОКТОРАНТУРА</w:t>
            </w:r>
            <w:r>
              <w:rPr>
                <w:b/>
                <w:bCs/>
              </w:rPr>
              <w:t>:</w:t>
            </w:r>
          </w:p>
        </w:tc>
        <w:tc>
          <w:tcPr>
            <w:tcW w:w="2976" w:type="dxa"/>
          </w:tcPr>
          <w:p w14:paraId="3FDE06E6" w14:textId="354ECA6A" w:rsidR="0096694D" w:rsidRDefault="0096694D" w:rsidP="000F5BAC">
            <w:pPr>
              <w:jc w:val="center"/>
            </w:pPr>
            <w:r w:rsidRPr="000F5BAC">
              <w:rPr>
                <w:b/>
                <w:lang w:val="en-US"/>
              </w:rPr>
              <w:t xml:space="preserve">GPA </w:t>
            </w:r>
            <w:r w:rsidRPr="000F5BAC">
              <w:rPr>
                <w:b/>
              </w:rPr>
              <w:t>курса</w:t>
            </w:r>
          </w:p>
        </w:tc>
        <w:tc>
          <w:tcPr>
            <w:tcW w:w="2976" w:type="dxa"/>
          </w:tcPr>
          <w:p w14:paraId="03CC326A" w14:textId="77777777" w:rsidR="0096694D" w:rsidRPr="000F5BAC" w:rsidRDefault="0096694D" w:rsidP="000F5BAC">
            <w:pPr>
              <w:jc w:val="center"/>
              <w:rPr>
                <w:b/>
                <w:lang w:val="en-US"/>
              </w:rPr>
            </w:pPr>
          </w:p>
        </w:tc>
      </w:tr>
      <w:tr w:rsidR="0096694D" w14:paraId="590B3598" w14:textId="4BB6BAAA" w:rsidTr="0017055A">
        <w:tc>
          <w:tcPr>
            <w:tcW w:w="2802" w:type="dxa"/>
          </w:tcPr>
          <w:p w14:paraId="5247690F" w14:textId="4AE606E8" w:rsidR="0096694D" w:rsidRPr="000F5BAC" w:rsidRDefault="0096694D" w:rsidP="0096694D">
            <w:pPr>
              <w:jc w:val="both"/>
              <w:rPr>
                <w:b/>
                <w:bCs/>
              </w:rPr>
            </w:pPr>
            <w:r>
              <w:rPr>
                <w:b/>
                <w:bCs/>
              </w:rPr>
              <w:t>с 1 на 2 год обучения</w:t>
            </w:r>
          </w:p>
        </w:tc>
        <w:tc>
          <w:tcPr>
            <w:tcW w:w="2976" w:type="dxa"/>
          </w:tcPr>
          <w:p w14:paraId="18964CC1" w14:textId="620F1B34" w:rsidR="0096694D" w:rsidRDefault="0096694D" w:rsidP="000F5BAC">
            <w:pPr>
              <w:jc w:val="center"/>
            </w:pPr>
            <w:r>
              <w:t>2,33</w:t>
            </w:r>
          </w:p>
        </w:tc>
        <w:tc>
          <w:tcPr>
            <w:tcW w:w="2976" w:type="dxa"/>
          </w:tcPr>
          <w:p w14:paraId="3C23E167" w14:textId="373DBD4C" w:rsidR="0096694D" w:rsidRPr="00264FD6" w:rsidRDefault="00264FD6" w:rsidP="000F5BAC">
            <w:pPr>
              <w:jc w:val="center"/>
              <w:rPr>
                <w:lang w:val="en-US"/>
              </w:rPr>
            </w:pPr>
            <w:r>
              <w:rPr>
                <w:lang w:val="en-US"/>
              </w:rPr>
              <w:t>-</w:t>
            </w:r>
          </w:p>
        </w:tc>
      </w:tr>
      <w:tr w:rsidR="0096694D" w14:paraId="44321B48" w14:textId="478AF77F" w:rsidTr="0017055A">
        <w:tc>
          <w:tcPr>
            <w:tcW w:w="2802" w:type="dxa"/>
          </w:tcPr>
          <w:p w14:paraId="038F4D55" w14:textId="41AE9822" w:rsidR="0096694D" w:rsidRPr="000F5BAC" w:rsidRDefault="0096694D" w:rsidP="000F5BAC">
            <w:pPr>
              <w:jc w:val="both"/>
              <w:rPr>
                <w:b/>
                <w:bCs/>
              </w:rPr>
            </w:pPr>
            <w:r>
              <w:rPr>
                <w:b/>
                <w:bCs/>
              </w:rPr>
              <w:t>Со 2 на 3 год обучения</w:t>
            </w:r>
          </w:p>
        </w:tc>
        <w:tc>
          <w:tcPr>
            <w:tcW w:w="2976" w:type="dxa"/>
          </w:tcPr>
          <w:p w14:paraId="2B966875" w14:textId="78938556" w:rsidR="0096694D" w:rsidRDefault="0096694D" w:rsidP="000F5BAC">
            <w:pPr>
              <w:jc w:val="center"/>
            </w:pPr>
            <w:r>
              <w:t>2,67</w:t>
            </w:r>
          </w:p>
        </w:tc>
        <w:tc>
          <w:tcPr>
            <w:tcW w:w="2976" w:type="dxa"/>
          </w:tcPr>
          <w:p w14:paraId="39459D20" w14:textId="5693DEE1" w:rsidR="0096694D" w:rsidRPr="00264FD6" w:rsidRDefault="00264FD6" w:rsidP="000F5BAC">
            <w:pPr>
              <w:jc w:val="center"/>
              <w:rPr>
                <w:lang w:val="en-US"/>
              </w:rPr>
            </w:pPr>
            <w:r>
              <w:rPr>
                <w:lang w:val="en-US"/>
              </w:rPr>
              <w:t>-</w:t>
            </w:r>
          </w:p>
        </w:tc>
      </w:tr>
    </w:tbl>
    <w:p w14:paraId="45930BBD" w14:textId="77777777" w:rsidR="000F5BAC" w:rsidRDefault="000F5BAC" w:rsidP="00DD2F55">
      <w:pPr>
        <w:ind w:firstLine="567"/>
        <w:jc w:val="both"/>
      </w:pPr>
    </w:p>
    <w:p w14:paraId="0F6477F6" w14:textId="63279A14" w:rsidR="00C73A55" w:rsidRDefault="00067099" w:rsidP="00C73A55">
      <w:pPr>
        <w:widowControl w:val="0"/>
        <w:tabs>
          <w:tab w:val="left" w:pos="993"/>
        </w:tabs>
        <w:autoSpaceDE w:val="0"/>
        <w:autoSpaceDN w:val="0"/>
        <w:adjustRightInd w:val="0"/>
        <w:jc w:val="both"/>
      </w:pPr>
      <w:r>
        <w:rPr>
          <w:b/>
          <w:u w:val="single"/>
        </w:rPr>
        <w:t xml:space="preserve">Перевод на </w:t>
      </w:r>
      <w:r w:rsidR="00C73A55" w:rsidRPr="00C73A55">
        <w:rPr>
          <w:b/>
          <w:u w:val="single"/>
        </w:rPr>
        <w:t>2021</w:t>
      </w:r>
      <w:r>
        <w:rPr>
          <w:b/>
          <w:u w:val="single"/>
        </w:rPr>
        <w:t>-</w:t>
      </w:r>
      <w:r w:rsidR="00C73A55" w:rsidRPr="00C73A55">
        <w:rPr>
          <w:b/>
          <w:u w:val="single"/>
        </w:rPr>
        <w:t xml:space="preserve"> 2022</w:t>
      </w:r>
      <w:r>
        <w:rPr>
          <w:b/>
          <w:u w:val="single"/>
        </w:rPr>
        <w:t xml:space="preserve"> учебный</w:t>
      </w:r>
      <w:r w:rsidR="00C73A55" w:rsidRPr="00C73A55">
        <w:rPr>
          <w:b/>
          <w:u w:val="single"/>
        </w:rPr>
        <w:t xml:space="preserve"> год</w:t>
      </w:r>
      <w:r w:rsidR="00C73A55" w:rsidRPr="00C73A55">
        <w:t xml:space="preserve">. </w:t>
      </w:r>
      <w:r w:rsidR="0096694D" w:rsidRPr="00C73A55">
        <w:t>В январе 2021 года решение</w:t>
      </w:r>
      <w:r w:rsidR="00C73A55">
        <w:t>м</w:t>
      </w:r>
      <w:r w:rsidR="0096694D" w:rsidRPr="00C73A55">
        <w:t xml:space="preserve"> Ученого совета (протокол №1 от 29.01.2021 года) были отменены переводные балл</w:t>
      </w:r>
      <w:r w:rsidR="00C73A55" w:rsidRPr="00C73A55">
        <w:t>ы</w:t>
      </w:r>
      <w:r w:rsidR="00C73A55">
        <w:t xml:space="preserve"> и принято решение:</w:t>
      </w:r>
    </w:p>
    <w:p w14:paraId="0CD03FC2" w14:textId="2CD39C6E" w:rsidR="0096694D" w:rsidRDefault="00C73A55" w:rsidP="00C73A55">
      <w:pPr>
        <w:pStyle w:val="a4"/>
        <w:widowControl w:val="0"/>
        <w:numPr>
          <w:ilvl w:val="0"/>
          <w:numId w:val="19"/>
        </w:numPr>
        <w:tabs>
          <w:tab w:val="left" w:pos="993"/>
        </w:tabs>
        <w:autoSpaceDE w:val="0"/>
        <w:autoSpaceDN w:val="0"/>
        <w:adjustRightInd w:val="0"/>
        <w:jc w:val="both"/>
      </w:pPr>
      <w:r>
        <w:t>о</w:t>
      </w:r>
      <w:r w:rsidR="0096694D" w:rsidRPr="00C73A55">
        <w:t>снованием для перевода студентов с курса на следующий курс по итогам 2020-2021 учебного года считать выполнение индивидуального учебного плана с академической задолженностью не более 20 кредитов за все время обучения.</w:t>
      </w:r>
    </w:p>
    <w:p w14:paraId="2C2AAF40" w14:textId="3FF9B2A1" w:rsidR="0096694D" w:rsidRPr="00C73A55" w:rsidRDefault="00C73A55" w:rsidP="00C73A55">
      <w:pPr>
        <w:pStyle w:val="a4"/>
        <w:widowControl w:val="0"/>
        <w:numPr>
          <w:ilvl w:val="0"/>
          <w:numId w:val="19"/>
        </w:numPr>
        <w:tabs>
          <w:tab w:val="left" w:pos="993"/>
        </w:tabs>
        <w:autoSpaceDE w:val="0"/>
        <w:autoSpaceDN w:val="0"/>
        <w:adjustRightInd w:val="0"/>
        <w:jc w:val="both"/>
      </w:pPr>
      <w:r>
        <w:t>ос</w:t>
      </w:r>
      <w:r w:rsidR="0096694D" w:rsidRPr="00C73A55">
        <w:t>нованием для перевода студентов на выпускной курс по итогам 2020-2021 учебного года считать выполнение индивидуального учебного плана с академической задолженностью не более 5 кредитов за все время обучения.</w:t>
      </w:r>
    </w:p>
    <w:p w14:paraId="7C91F670" w14:textId="3408C1E1" w:rsidR="0096694D" w:rsidRPr="00C73A55" w:rsidRDefault="00C73A55" w:rsidP="00C73A55">
      <w:pPr>
        <w:pStyle w:val="a4"/>
        <w:widowControl w:val="0"/>
        <w:numPr>
          <w:ilvl w:val="0"/>
          <w:numId w:val="19"/>
        </w:numPr>
        <w:tabs>
          <w:tab w:val="left" w:pos="993"/>
        </w:tabs>
        <w:autoSpaceDE w:val="0"/>
        <w:autoSpaceDN w:val="0"/>
        <w:adjustRightInd w:val="0"/>
        <w:jc w:val="both"/>
      </w:pPr>
      <w:r>
        <w:t>н</w:t>
      </w:r>
      <w:r w:rsidR="0096694D" w:rsidRPr="00C73A55">
        <w:t>а 2020-2021 учебный год в магистратуре и докторантуре установить следующие значения переводных GPA баллов:</w:t>
      </w:r>
    </w:p>
    <w:p w14:paraId="06A83398" w14:textId="246424AB" w:rsidR="0096694D" w:rsidRPr="00C73A55" w:rsidRDefault="0096694D" w:rsidP="00C73A55">
      <w:pPr>
        <w:pStyle w:val="a4"/>
        <w:tabs>
          <w:tab w:val="left" w:pos="993"/>
        </w:tabs>
        <w:ind w:left="1440"/>
        <w:jc w:val="both"/>
      </w:pPr>
      <w:r w:rsidRPr="00C73A55">
        <w:t xml:space="preserve"> с первого на второй год обучения – 2.00,</w:t>
      </w:r>
    </w:p>
    <w:p w14:paraId="7DD004B0" w14:textId="0972FDC5" w:rsidR="0096694D" w:rsidRPr="00C73A55" w:rsidRDefault="0096694D" w:rsidP="00C73A55">
      <w:pPr>
        <w:pStyle w:val="a4"/>
        <w:tabs>
          <w:tab w:val="left" w:pos="993"/>
        </w:tabs>
        <w:ind w:left="1440"/>
        <w:jc w:val="both"/>
      </w:pPr>
      <w:r w:rsidRPr="00C73A55">
        <w:t xml:space="preserve"> со второго на третий год обучения – 2.33.</w:t>
      </w:r>
    </w:p>
    <w:p w14:paraId="377FCE58" w14:textId="77777777" w:rsidR="00FE67B8" w:rsidRDefault="00FE67B8" w:rsidP="00067099">
      <w:pPr>
        <w:jc w:val="both"/>
      </w:pPr>
    </w:p>
    <w:p w14:paraId="014ECCE8" w14:textId="7AFC7A16" w:rsidR="00067099" w:rsidRDefault="00067099" w:rsidP="00067099">
      <w:pPr>
        <w:jc w:val="both"/>
      </w:pPr>
      <w:r w:rsidRPr="00067099">
        <w:rPr>
          <w:b/>
          <w:u w:val="single"/>
        </w:rPr>
        <w:t xml:space="preserve">Перевод на 2022-2023 </w:t>
      </w:r>
      <w:proofErr w:type="spellStart"/>
      <w:proofErr w:type="gramStart"/>
      <w:r w:rsidRPr="00067099">
        <w:rPr>
          <w:b/>
          <w:u w:val="single"/>
        </w:rPr>
        <w:t>у.г</w:t>
      </w:r>
      <w:proofErr w:type="spellEnd"/>
      <w:r w:rsidRPr="00067099">
        <w:rPr>
          <w:b/>
          <w:u w:val="single"/>
        </w:rPr>
        <w:t>..</w:t>
      </w:r>
      <w:proofErr w:type="gramEnd"/>
      <w:r>
        <w:t xml:space="preserve"> В </w:t>
      </w:r>
      <w:r w:rsidR="00C87536">
        <w:t>мае</w:t>
      </w:r>
      <w:r>
        <w:t xml:space="preserve"> 2022 года решением Ученого совета (протокол №</w:t>
      </w:r>
      <w:r w:rsidR="00C87536" w:rsidRPr="00C87536">
        <w:t>9</w:t>
      </w:r>
      <w:r>
        <w:t xml:space="preserve"> от</w:t>
      </w:r>
      <w:r w:rsidR="00C87536" w:rsidRPr="00C87536">
        <w:t xml:space="preserve"> </w:t>
      </w:r>
      <w:proofErr w:type="gramStart"/>
      <w:r w:rsidR="00C87536" w:rsidRPr="00C87536">
        <w:t>27</w:t>
      </w:r>
      <w:r w:rsidR="00C87536">
        <w:t>.</w:t>
      </w:r>
      <w:r w:rsidR="00C87536" w:rsidRPr="00C87536">
        <w:t>05</w:t>
      </w:r>
      <w:r w:rsidR="00C87536">
        <w:t>.</w:t>
      </w:r>
      <w:r w:rsidR="00C87536" w:rsidRPr="00C87536">
        <w:t>2022</w:t>
      </w:r>
      <w:r w:rsidR="00C87536">
        <w:t xml:space="preserve"> )</w:t>
      </w:r>
      <w:r>
        <w:t>было</w:t>
      </w:r>
      <w:proofErr w:type="gramEnd"/>
      <w:r>
        <w:t xml:space="preserve"> установлено следующее условие  перевода на следующий курс:</w:t>
      </w:r>
    </w:p>
    <w:p w14:paraId="780E1406" w14:textId="77777777" w:rsidR="00C87536" w:rsidRPr="00CF6DE1" w:rsidRDefault="00C87536" w:rsidP="00C87536">
      <w:pPr>
        <w:pStyle w:val="a4"/>
        <w:numPr>
          <w:ilvl w:val="0"/>
          <w:numId w:val="22"/>
        </w:numPr>
        <w:ind w:left="1066" w:hanging="357"/>
        <w:jc w:val="both"/>
        <w:rPr>
          <w:b/>
        </w:rPr>
      </w:pPr>
      <w:r w:rsidRPr="00CF6DE1">
        <w:lastRenderedPageBreak/>
        <w:t xml:space="preserve">Основанием для перевода </w:t>
      </w:r>
      <w:r>
        <w:t>обучающихся всех уровней обучения (бакалавриат, магистратура, докторантура)</w:t>
      </w:r>
      <w:r w:rsidRPr="00CF6DE1">
        <w:t xml:space="preserve"> с курса на следующий курс по итогам 2021-2022 учебного года считать выполнение индивидуального учебного плана с академич</w:t>
      </w:r>
      <w:r>
        <w:t xml:space="preserve">еской задолженностью не более </w:t>
      </w:r>
      <w:r w:rsidRPr="00C87536">
        <w:rPr>
          <w:b/>
        </w:rPr>
        <w:t>25 кредитов</w:t>
      </w:r>
      <w:r w:rsidRPr="00CF6DE1">
        <w:t xml:space="preserve"> за все время обучения.</w:t>
      </w:r>
    </w:p>
    <w:p w14:paraId="4F232955" w14:textId="77777777" w:rsidR="00C87536" w:rsidRPr="00491814" w:rsidRDefault="00C87536" w:rsidP="00C87536">
      <w:pPr>
        <w:pStyle w:val="a4"/>
        <w:numPr>
          <w:ilvl w:val="0"/>
          <w:numId w:val="22"/>
        </w:numPr>
        <w:ind w:left="1066" w:hanging="357"/>
        <w:jc w:val="both"/>
        <w:rPr>
          <w:b/>
        </w:rPr>
      </w:pPr>
      <w:r w:rsidRPr="00CF6DE1">
        <w:t xml:space="preserve">Основанием для перевода </w:t>
      </w:r>
      <w:r>
        <w:t>обучающихся всех уровней обучения (бакалавриат, магистратура, докторантура)</w:t>
      </w:r>
      <w:r w:rsidRPr="00CF6DE1">
        <w:t xml:space="preserve"> с курса на </w:t>
      </w:r>
      <w:r>
        <w:t>выпускной</w:t>
      </w:r>
      <w:r w:rsidRPr="00CF6DE1">
        <w:t xml:space="preserve"> курс по итогам 2021-2022 учебного года считать выполнение индивидуального учебного плана с академической задолженностью не более</w:t>
      </w:r>
      <w:r>
        <w:t xml:space="preserve"> </w:t>
      </w:r>
      <w:r w:rsidRPr="00C87536">
        <w:rPr>
          <w:b/>
        </w:rPr>
        <w:t>10 кредитов</w:t>
      </w:r>
      <w:r w:rsidRPr="00CF6DE1">
        <w:t xml:space="preserve"> за все время обучения.</w:t>
      </w:r>
    </w:p>
    <w:p w14:paraId="2F93BF8E" w14:textId="77777777" w:rsidR="00C87536" w:rsidRDefault="00C87536" w:rsidP="00067099">
      <w:pPr>
        <w:jc w:val="both"/>
      </w:pPr>
    </w:p>
    <w:p w14:paraId="5228889F" w14:textId="77777777" w:rsidR="00C87536" w:rsidRDefault="00C87536" w:rsidP="00067099">
      <w:pPr>
        <w:jc w:val="both"/>
      </w:pPr>
    </w:p>
    <w:p w14:paraId="266022DC" w14:textId="24E5A29F" w:rsidR="00067099" w:rsidRPr="00067099" w:rsidRDefault="00067099" w:rsidP="00067099">
      <w:pPr>
        <w:pStyle w:val="a4"/>
        <w:numPr>
          <w:ilvl w:val="0"/>
          <w:numId w:val="21"/>
        </w:numPr>
        <w:jc w:val="both"/>
        <w:rPr>
          <w:b/>
          <w:i/>
        </w:rPr>
      </w:pPr>
      <w:r>
        <w:rPr>
          <w:b/>
          <w:i/>
        </w:rPr>
        <w:t>Настоящие требования Академической политики П 119-2022 к условиям перевода обучающихся на следующий курс</w:t>
      </w:r>
    </w:p>
    <w:p w14:paraId="512621B8" w14:textId="77777777" w:rsidR="00067099" w:rsidRDefault="00067099" w:rsidP="00067099">
      <w:pPr>
        <w:jc w:val="both"/>
      </w:pPr>
    </w:p>
    <w:p w14:paraId="7B34C73A" w14:textId="75C88E9D" w:rsidR="00067099" w:rsidRDefault="00067099" w:rsidP="00067099">
      <w:pPr>
        <w:ind w:firstLine="567"/>
        <w:jc w:val="both"/>
      </w:pPr>
      <w:r>
        <w:t xml:space="preserve">Пункт </w:t>
      </w:r>
      <w:r w:rsidR="00C87536">
        <w:t xml:space="preserve">256 </w:t>
      </w:r>
      <w:r>
        <w:t>Академической политики П 119-2022 регламентирует перевод обучающихся на следующий курс:</w:t>
      </w:r>
    </w:p>
    <w:p w14:paraId="4A40E37D" w14:textId="76E861B2" w:rsidR="00C87536" w:rsidRPr="00C87536" w:rsidRDefault="00C87536" w:rsidP="00C87536">
      <w:pPr>
        <w:pStyle w:val="a9"/>
        <w:shd w:val="clear" w:color="auto" w:fill="FFFFFF"/>
        <w:tabs>
          <w:tab w:val="left" w:pos="1134"/>
        </w:tabs>
        <w:spacing w:before="0" w:beforeAutospacing="0" w:after="0" w:afterAutospacing="0"/>
        <w:jc w:val="both"/>
        <w:textAlignment w:val="baseline"/>
        <w:rPr>
          <w:i/>
        </w:rPr>
      </w:pPr>
      <w:r>
        <w:rPr>
          <w:i/>
        </w:rPr>
        <w:t>«256</w:t>
      </w:r>
      <w:r w:rsidRPr="00C87536">
        <w:rPr>
          <w:i/>
        </w:rPr>
        <w:t>. Основанием для перевода обучающегося с курса на следующий курс по итогам учебного года является переводные баллы GPA, утвержденные Ученым Советом университета. При этом при подсчете переводного GPA балла учитываются выставленные все оценки в период сессии и летнего семестра. Обучающийся, не набравший переводные GPA баллы, остается на повторный курс обучения по заявлению.</w:t>
      </w:r>
      <w:r>
        <w:rPr>
          <w:i/>
        </w:rPr>
        <w:t>»</w:t>
      </w:r>
    </w:p>
    <w:p w14:paraId="2A141512" w14:textId="77777777" w:rsidR="00C87536" w:rsidRDefault="00C87536" w:rsidP="00067099">
      <w:pPr>
        <w:ind w:firstLine="567"/>
        <w:jc w:val="both"/>
      </w:pPr>
    </w:p>
    <w:p w14:paraId="5638DA4C" w14:textId="77777777" w:rsidR="00C87536" w:rsidRPr="00C87536" w:rsidRDefault="00C87536" w:rsidP="00C87536">
      <w:pPr>
        <w:widowControl w:val="0"/>
        <w:tabs>
          <w:tab w:val="left" w:pos="993"/>
        </w:tabs>
        <w:autoSpaceDE w:val="0"/>
        <w:autoSpaceDN w:val="0"/>
        <w:adjustRightInd w:val="0"/>
        <w:ind w:left="360"/>
        <w:jc w:val="both"/>
        <w:rPr>
          <w:b/>
          <w:sz w:val="28"/>
          <w:szCs w:val="28"/>
          <w:lang w:val="kk-KZ"/>
        </w:rPr>
      </w:pPr>
      <w:r w:rsidRPr="00C87536">
        <w:rPr>
          <w:b/>
          <w:sz w:val="28"/>
          <w:szCs w:val="28"/>
          <w:lang w:val="kk-KZ"/>
        </w:rPr>
        <w:t>Предлагается:</w:t>
      </w:r>
    </w:p>
    <w:p w14:paraId="7D284BA7" w14:textId="5E1B7D3C" w:rsidR="00C87536" w:rsidRPr="00C87536" w:rsidRDefault="00C87536" w:rsidP="00C87536">
      <w:pPr>
        <w:widowControl w:val="0"/>
        <w:tabs>
          <w:tab w:val="left" w:pos="993"/>
        </w:tabs>
        <w:autoSpaceDE w:val="0"/>
        <w:autoSpaceDN w:val="0"/>
        <w:adjustRightInd w:val="0"/>
        <w:ind w:left="360"/>
        <w:jc w:val="both"/>
        <w:rPr>
          <w:lang w:val="kk-KZ"/>
        </w:rPr>
      </w:pPr>
      <w:r w:rsidRPr="00C87536">
        <w:rPr>
          <w:lang w:val="kk-KZ"/>
        </w:rPr>
        <w:t>Основанием для перевода обучающихся с курса на следующий курс по итогам 2022-2023 учебного года считать выполнение следующих условий:</w:t>
      </w:r>
    </w:p>
    <w:p w14:paraId="0DEB2FFF" w14:textId="77777777" w:rsidR="00C87536" w:rsidRPr="00C87536" w:rsidRDefault="00C87536" w:rsidP="00C87536">
      <w:pPr>
        <w:pStyle w:val="a4"/>
        <w:widowControl w:val="0"/>
        <w:numPr>
          <w:ilvl w:val="0"/>
          <w:numId w:val="26"/>
        </w:numPr>
        <w:tabs>
          <w:tab w:val="left" w:pos="993"/>
        </w:tabs>
        <w:autoSpaceDE w:val="0"/>
        <w:autoSpaceDN w:val="0"/>
        <w:adjustRightInd w:val="0"/>
        <w:jc w:val="both"/>
      </w:pPr>
      <w:r w:rsidRPr="00C87536">
        <w:t>В бакалавриате:</w:t>
      </w:r>
    </w:p>
    <w:p w14:paraId="129CF386" w14:textId="3B590828" w:rsidR="00C87536" w:rsidRPr="00C87536" w:rsidRDefault="00C87536" w:rsidP="00C87536">
      <w:pPr>
        <w:pStyle w:val="a4"/>
        <w:tabs>
          <w:tab w:val="left" w:pos="993"/>
        </w:tabs>
        <w:ind w:left="709"/>
        <w:jc w:val="both"/>
      </w:pPr>
      <w:r w:rsidRPr="00C87536">
        <w:t xml:space="preserve">с 1 на 2 курс </w:t>
      </w:r>
      <w:proofErr w:type="gramStart"/>
      <w:r w:rsidRPr="00C87536">
        <w:t>–  значение</w:t>
      </w:r>
      <w:proofErr w:type="gramEnd"/>
      <w:r w:rsidRPr="00C87536">
        <w:t xml:space="preserve">  </w:t>
      </w:r>
      <w:r w:rsidRPr="00C87536">
        <w:rPr>
          <w:lang w:val="en-US"/>
        </w:rPr>
        <w:t>GPA</w:t>
      </w:r>
      <w:r w:rsidRPr="00C87536">
        <w:t xml:space="preserve"> за 1 курс не менее 1,3 балла;</w:t>
      </w:r>
    </w:p>
    <w:p w14:paraId="2A3723C3" w14:textId="619AAB63" w:rsidR="00C87536" w:rsidRPr="00C87536" w:rsidRDefault="00C87536" w:rsidP="00C87536">
      <w:pPr>
        <w:pStyle w:val="a4"/>
        <w:tabs>
          <w:tab w:val="left" w:pos="993"/>
        </w:tabs>
        <w:ind w:left="709"/>
        <w:jc w:val="both"/>
      </w:pPr>
      <w:r w:rsidRPr="00C87536">
        <w:t xml:space="preserve">со 2 на 3 курс – </w:t>
      </w:r>
      <w:proofErr w:type="gramStart"/>
      <w:r w:rsidRPr="00C87536">
        <w:t xml:space="preserve">значение  </w:t>
      </w:r>
      <w:r w:rsidRPr="00C87536">
        <w:rPr>
          <w:lang w:val="en-US"/>
        </w:rPr>
        <w:t>GPA</w:t>
      </w:r>
      <w:proofErr w:type="gramEnd"/>
      <w:r w:rsidRPr="00C87536">
        <w:t xml:space="preserve"> за 2 курс не менее 1,6 баллов;</w:t>
      </w:r>
    </w:p>
    <w:p w14:paraId="2063BFA4" w14:textId="768605EF" w:rsidR="00C87536" w:rsidRPr="00C87536" w:rsidRDefault="00C87536" w:rsidP="00C87536">
      <w:pPr>
        <w:pStyle w:val="a4"/>
        <w:tabs>
          <w:tab w:val="left" w:pos="993"/>
        </w:tabs>
        <w:ind w:left="709"/>
        <w:jc w:val="both"/>
      </w:pPr>
      <w:r w:rsidRPr="00C87536">
        <w:t xml:space="preserve">с 3 на 4 курс – </w:t>
      </w:r>
      <w:proofErr w:type="gramStart"/>
      <w:r w:rsidRPr="00C87536">
        <w:t xml:space="preserve">значение  </w:t>
      </w:r>
      <w:r w:rsidRPr="00C87536">
        <w:rPr>
          <w:lang w:val="en-US"/>
        </w:rPr>
        <w:t>GPA</w:t>
      </w:r>
      <w:proofErr w:type="gramEnd"/>
      <w:r w:rsidRPr="00C87536">
        <w:t xml:space="preserve"> за 3 курс не менее </w:t>
      </w:r>
      <w:r w:rsidR="00444329">
        <w:t>1</w:t>
      </w:r>
      <w:r w:rsidRPr="00C87536">
        <w:t>,</w:t>
      </w:r>
      <w:r w:rsidR="00444329">
        <w:t>8</w:t>
      </w:r>
      <w:r w:rsidRPr="00C87536">
        <w:t xml:space="preserve"> балла;</w:t>
      </w:r>
    </w:p>
    <w:p w14:paraId="2DBBBB37" w14:textId="77777777" w:rsidR="00C87536" w:rsidRPr="00C87536" w:rsidRDefault="00C87536" w:rsidP="00C87536">
      <w:pPr>
        <w:pStyle w:val="a4"/>
        <w:tabs>
          <w:tab w:val="left" w:pos="993"/>
        </w:tabs>
        <w:ind w:left="709"/>
        <w:jc w:val="both"/>
      </w:pPr>
      <w:r w:rsidRPr="00C87536">
        <w:t xml:space="preserve">с 4 на 5 курс – </w:t>
      </w:r>
      <w:proofErr w:type="gramStart"/>
      <w:r w:rsidRPr="00C87536">
        <w:t xml:space="preserve">значение  </w:t>
      </w:r>
      <w:r w:rsidRPr="00C87536">
        <w:rPr>
          <w:lang w:val="en-US"/>
        </w:rPr>
        <w:t>GPA</w:t>
      </w:r>
      <w:proofErr w:type="gramEnd"/>
      <w:r w:rsidRPr="00C87536">
        <w:t xml:space="preserve"> за 4 курс не менее 2,0.</w:t>
      </w:r>
    </w:p>
    <w:p w14:paraId="1609EF25" w14:textId="77777777" w:rsidR="00C87536" w:rsidRPr="00C87536" w:rsidRDefault="00C87536" w:rsidP="00C87536">
      <w:pPr>
        <w:pStyle w:val="a4"/>
        <w:tabs>
          <w:tab w:val="left" w:pos="993"/>
        </w:tabs>
        <w:ind w:left="709"/>
        <w:jc w:val="both"/>
      </w:pPr>
      <w:r w:rsidRPr="00C87536">
        <w:t>2) В магистратуре и докторантуре:</w:t>
      </w:r>
    </w:p>
    <w:p w14:paraId="162820D5" w14:textId="77777777" w:rsidR="00C87536" w:rsidRPr="00C87536" w:rsidRDefault="00C87536" w:rsidP="00C87536">
      <w:pPr>
        <w:pStyle w:val="a4"/>
        <w:tabs>
          <w:tab w:val="left" w:pos="993"/>
        </w:tabs>
        <w:ind w:left="709"/>
        <w:jc w:val="both"/>
      </w:pPr>
      <w:r w:rsidRPr="00C87536">
        <w:t xml:space="preserve">с 1 на 2 год– </w:t>
      </w:r>
      <w:proofErr w:type="gramStart"/>
      <w:r w:rsidRPr="00C87536">
        <w:t xml:space="preserve">значение  </w:t>
      </w:r>
      <w:r w:rsidRPr="00C87536">
        <w:rPr>
          <w:lang w:val="en-US"/>
        </w:rPr>
        <w:t>GPA</w:t>
      </w:r>
      <w:proofErr w:type="gramEnd"/>
      <w:r w:rsidRPr="00C87536">
        <w:t xml:space="preserve"> за 1 год обучения не менее 2,0 балла;</w:t>
      </w:r>
    </w:p>
    <w:p w14:paraId="1C803C4F" w14:textId="6A5FE378" w:rsidR="00C87536" w:rsidRPr="00C87536" w:rsidRDefault="00C87536" w:rsidP="00C87536">
      <w:pPr>
        <w:pStyle w:val="a4"/>
        <w:tabs>
          <w:tab w:val="left" w:pos="993"/>
          <w:tab w:val="left" w:pos="7080"/>
        </w:tabs>
        <w:ind w:left="709"/>
        <w:jc w:val="both"/>
        <w:rPr>
          <w:lang w:val="kk-KZ"/>
        </w:rPr>
      </w:pPr>
      <w:r w:rsidRPr="00C87536">
        <w:t xml:space="preserve">со 2 на 3 год - </w:t>
      </w:r>
      <w:proofErr w:type="gramStart"/>
      <w:r w:rsidRPr="00C87536">
        <w:t xml:space="preserve">значение  </w:t>
      </w:r>
      <w:r w:rsidRPr="00C87536">
        <w:rPr>
          <w:lang w:val="en-US"/>
        </w:rPr>
        <w:t>GPA</w:t>
      </w:r>
      <w:proofErr w:type="gramEnd"/>
      <w:r w:rsidRPr="00C87536">
        <w:t xml:space="preserve"> за 1 год обучения не менее 2,</w:t>
      </w:r>
      <w:r w:rsidR="00444329">
        <w:t>2</w:t>
      </w:r>
      <w:r w:rsidRPr="00C87536">
        <w:t xml:space="preserve"> балла</w:t>
      </w:r>
      <w:r w:rsidRPr="00C87536">
        <w:tab/>
      </w:r>
    </w:p>
    <w:p w14:paraId="7E966DA0" w14:textId="39726618" w:rsidR="00C87536" w:rsidRPr="00C87536" w:rsidRDefault="00C87536" w:rsidP="00C87536">
      <w:pPr>
        <w:tabs>
          <w:tab w:val="left" w:pos="993"/>
        </w:tabs>
        <w:ind w:left="709"/>
        <w:jc w:val="both"/>
        <w:rPr>
          <w:lang w:val="kk-KZ"/>
        </w:rPr>
      </w:pPr>
      <w:r w:rsidRPr="00C87536">
        <w:rPr>
          <w:lang w:val="kk-KZ"/>
        </w:rPr>
        <w:t>3) При переводе на выпускной курс в бакалавриате и магистратуре</w:t>
      </w:r>
      <w:r w:rsidR="00444329">
        <w:rPr>
          <w:lang w:val="kk-KZ"/>
        </w:rPr>
        <w:t>,</w:t>
      </w:r>
      <w:r w:rsidRPr="00C87536">
        <w:rPr>
          <w:lang w:val="kk-KZ"/>
        </w:rPr>
        <w:t xml:space="preserve"> кроме переводных значений </w:t>
      </w:r>
      <w:r w:rsidRPr="00C87536">
        <w:rPr>
          <w:lang w:val="en-US"/>
        </w:rPr>
        <w:t>GPA</w:t>
      </w:r>
      <w:r w:rsidR="00444329">
        <w:t>,</w:t>
      </w:r>
      <w:r w:rsidRPr="00C87536">
        <w:t xml:space="preserve"> </w:t>
      </w:r>
      <w:r w:rsidRPr="00C87536">
        <w:rPr>
          <w:lang w:val="kk-KZ"/>
        </w:rPr>
        <w:t>академическая задолженность не должна превы</w:t>
      </w:r>
      <w:proofErr w:type="spellStart"/>
      <w:r w:rsidRPr="00C87536">
        <w:t>шать</w:t>
      </w:r>
      <w:proofErr w:type="spellEnd"/>
      <w:r w:rsidRPr="00C87536">
        <w:rPr>
          <w:lang w:val="kk-KZ"/>
        </w:rPr>
        <w:t xml:space="preserve"> 10 кредитов.</w:t>
      </w:r>
    </w:p>
    <w:p w14:paraId="32CBE39F" w14:textId="77777777" w:rsidR="00067099" w:rsidRPr="00C87536" w:rsidRDefault="00067099" w:rsidP="00067099">
      <w:pPr>
        <w:ind w:firstLine="567"/>
        <w:jc w:val="both"/>
        <w:rPr>
          <w:i/>
          <w:lang w:val="kk-KZ"/>
        </w:rPr>
      </w:pPr>
    </w:p>
    <w:p w14:paraId="30DC7B53" w14:textId="215918B1" w:rsidR="00067099" w:rsidRDefault="00067099" w:rsidP="00067099">
      <w:pPr>
        <w:jc w:val="both"/>
      </w:pPr>
      <w:r>
        <w:t xml:space="preserve">Ученому совету необходимо утвердить значения переводных </w:t>
      </w:r>
      <w:r>
        <w:rPr>
          <w:lang w:val="en-US"/>
        </w:rPr>
        <w:t>GPA</w:t>
      </w:r>
      <w:r w:rsidRPr="00067099">
        <w:t xml:space="preserve"> </w:t>
      </w:r>
      <w:r>
        <w:t>по итогам учебного года.</w:t>
      </w:r>
    </w:p>
    <w:p w14:paraId="63C64FCF" w14:textId="77777777" w:rsidR="00067099" w:rsidRDefault="00067099" w:rsidP="00067099">
      <w:pPr>
        <w:jc w:val="both"/>
      </w:pPr>
    </w:p>
    <w:p w14:paraId="3F207BE9" w14:textId="77777777" w:rsidR="0017055A" w:rsidRDefault="0017055A" w:rsidP="00067099">
      <w:pPr>
        <w:jc w:val="both"/>
      </w:pPr>
    </w:p>
    <w:p w14:paraId="5C3E6ACA" w14:textId="6193BCB8" w:rsidR="0017055A" w:rsidRDefault="0017055A" w:rsidP="00067099">
      <w:pPr>
        <w:jc w:val="both"/>
      </w:pPr>
      <w:r>
        <w:t xml:space="preserve">И.о. начальника ОР </w:t>
      </w:r>
      <w:r>
        <w:tab/>
      </w:r>
      <w:r>
        <w:tab/>
      </w:r>
      <w:r>
        <w:tab/>
      </w:r>
      <w:r>
        <w:tab/>
      </w:r>
      <w:r>
        <w:tab/>
      </w:r>
      <w:r>
        <w:tab/>
      </w:r>
      <w:r>
        <w:tab/>
      </w:r>
      <w:r>
        <w:tab/>
      </w:r>
      <w:proofErr w:type="spellStart"/>
      <w:r>
        <w:t>Н.Божевольная</w:t>
      </w:r>
      <w:proofErr w:type="spellEnd"/>
    </w:p>
    <w:p w14:paraId="49F0A1C6" w14:textId="77777777" w:rsidR="00067099" w:rsidRDefault="00067099" w:rsidP="00067099">
      <w:pPr>
        <w:jc w:val="both"/>
      </w:pPr>
    </w:p>
    <w:p w14:paraId="75C8DD4E" w14:textId="77777777" w:rsidR="00654BED" w:rsidRDefault="00654BED" w:rsidP="00067099">
      <w:pPr>
        <w:jc w:val="both"/>
      </w:pPr>
    </w:p>
    <w:p w14:paraId="35DEF964" w14:textId="77777777" w:rsidR="00654BED" w:rsidRDefault="00654BED" w:rsidP="00067099">
      <w:pPr>
        <w:jc w:val="both"/>
      </w:pPr>
    </w:p>
    <w:p w14:paraId="46123523" w14:textId="77777777" w:rsidR="00654BED" w:rsidRDefault="00654BED" w:rsidP="00067099">
      <w:pPr>
        <w:jc w:val="both"/>
      </w:pPr>
    </w:p>
    <w:p w14:paraId="438D6851" w14:textId="77777777" w:rsidR="00654BED" w:rsidRDefault="00654BED" w:rsidP="00067099">
      <w:pPr>
        <w:jc w:val="both"/>
      </w:pPr>
    </w:p>
    <w:p w14:paraId="22E7B4C8" w14:textId="77777777" w:rsidR="00654BED" w:rsidRDefault="00654BED" w:rsidP="00067099">
      <w:pPr>
        <w:jc w:val="both"/>
      </w:pPr>
    </w:p>
    <w:p w14:paraId="2E0F2FD4" w14:textId="77777777" w:rsidR="00654BED" w:rsidRDefault="00654BED" w:rsidP="00067099">
      <w:pPr>
        <w:jc w:val="both"/>
      </w:pPr>
    </w:p>
    <w:p w14:paraId="17AAA352" w14:textId="77777777" w:rsidR="00654BED" w:rsidRDefault="00654BED" w:rsidP="00067099">
      <w:pPr>
        <w:jc w:val="both"/>
      </w:pPr>
    </w:p>
    <w:p w14:paraId="08484953" w14:textId="77777777" w:rsidR="00654BED" w:rsidRDefault="00654BED" w:rsidP="00067099">
      <w:pPr>
        <w:jc w:val="both"/>
      </w:pPr>
    </w:p>
    <w:p w14:paraId="5831A209" w14:textId="77777777" w:rsidR="00654BED" w:rsidRDefault="00654BED" w:rsidP="00067099">
      <w:pPr>
        <w:jc w:val="both"/>
      </w:pPr>
    </w:p>
    <w:p w14:paraId="5EB383C6" w14:textId="77777777" w:rsidR="00E665E5" w:rsidRDefault="00E665E5" w:rsidP="00067099">
      <w:pPr>
        <w:jc w:val="both"/>
      </w:pPr>
    </w:p>
    <w:p w14:paraId="27D33892" w14:textId="77777777" w:rsidR="00E665E5" w:rsidRDefault="00E665E5" w:rsidP="00067099">
      <w:pPr>
        <w:jc w:val="both"/>
      </w:pPr>
    </w:p>
    <w:p w14:paraId="42DEFB48" w14:textId="7F5ADD68" w:rsidR="00654BED" w:rsidRDefault="00654BED" w:rsidP="00067099">
      <w:pPr>
        <w:jc w:val="both"/>
      </w:pPr>
      <w:r>
        <w:lastRenderedPageBreak/>
        <w:t>ЭТУ СТРАНИЦУ НЕ ПЕЧАТАТЬ</w:t>
      </w:r>
    </w:p>
    <w:p w14:paraId="5E65CC20" w14:textId="77777777" w:rsidR="00654BED" w:rsidRDefault="00654BED" w:rsidP="00067099">
      <w:pPr>
        <w:jc w:val="both"/>
      </w:pPr>
      <w:r>
        <w:t xml:space="preserve">Прогнозирование перевода с курса на следующий курс на основе </w:t>
      </w:r>
      <w:proofErr w:type="gramStart"/>
      <w:r>
        <w:t xml:space="preserve">результатов  </w:t>
      </w:r>
      <w:r>
        <w:rPr>
          <w:lang w:val="en-US"/>
        </w:rPr>
        <w:t>GPA</w:t>
      </w:r>
      <w:proofErr w:type="gramEnd"/>
      <w:r w:rsidRPr="00654BED">
        <w:t xml:space="preserve"> </w:t>
      </w:r>
      <w:r>
        <w:t>текущего курса на конец 2021-2022 учебного года</w:t>
      </w:r>
    </w:p>
    <w:p w14:paraId="0AD92986" w14:textId="77777777" w:rsidR="00654BED" w:rsidRDefault="00654BED" w:rsidP="00067099">
      <w:pPr>
        <w:jc w:val="both"/>
      </w:pPr>
    </w:p>
    <w:tbl>
      <w:tblPr>
        <w:tblStyle w:val="a5"/>
        <w:tblW w:w="0" w:type="auto"/>
        <w:tblInd w:w="534" w:type="dxa"/>
        <w:tblLook w:val="04A0" w:firstRow="1" w:lastRow="0" w:firstColumn="1" w:lastColumn="0" w:noHBand="0" w:noVBand="1"/>
      </w:tblPr>
      <w:tblGrid>
        <w:gridCol w:w="2268"/>
        <w:gridCol w:w="1701"/>
        <w:gridCol w:w="1842"/>
        <w:gridCol w:w="3036"/>
      </w:tblGrid>
      <w:tr w:rsidR="00654BED" w14:paraId="47A9188B" w14:textId="5420C176" w:rsidTr="0044167F">
        <w:tc>
          <w:tcPr>
            <w:tcW w:w="2268" w:type="dxa"/>
          </w:tcPr>
          <w:p w14:paraId="296350E6" w14:textId="77777777" w:rsidR="00654BED" w:rsidRDefault="00654BED" w:rsidP="00E54A8E">
            <w:pPr>
              <w:jc w:val="both"/>
            </w:pPr>
          </w:p>
        </w:tc>
        <w:tc>
          <w:tcPr>
            <w:tcW w:w="1701" w:type="dxa"/>
          </w:tcPr>
          <w:p w14:paraId="622354CE" w14:textId="44FF6E17" w:rsidR="00654BED" w:rsidRDefault="00654BED" w:rsidP="00654BED">
            <w:pPr>
              <w:jc w:val="center"/>
            </w:pPr>
            <w:r>
              <w:rPr>
                <w:b/>
              </w:rPr>
              <w:t xml:space="preserve">переводной </w:t>
            </w:r>
            <w:r w:rsidRPr="000F5BAC">
              <w:rPr>
                <w:b/>
                <w:lang w:val="en-US"/>
              </w:rPr>
              <w:t xml:space="preserve">GPA </w:t>
            </w:r>
            <w:r w:rsidRPr="000F5BAC">
              <w:rPr>
                <w:b/>
              </w:rPr>
              <w:t>курса</w:t>
            </w:r>
          </w:p>
        </w:tc>
        <w:tc>
          <w:tcPr>
            <w:tcW w:w="1842" w:type="dxa"/>
            <w:tcBorders>
              <w:right w:val="single" w:sz="4" w:space="0" w:color="auto"/>
            </w:tcBorders>
          </w:tcPr>
          <w:p w14:paraId="00794718" w14:textId="4B2EC066" w:rsidR="00654BED" w:rsidRPr="00654BED" w:rsidRDefault="00654BED" w:rsidP="00654BED">
            <w:pPr>
              <w:jc w:val="center"/>
              <w:rPr>
                <w:b/>
              </w:rPr>
            </w:pPr>
            <w:r w:rsidRPr="00654BED">
              <w:rPr>
                <w:b/>
              </w:rPr>
              <w:t>Всего обучающихся</w:t>
            </w:r>
          </w:p>
        </w:tc>
        <w:tc>
          <w:tcPr>
            <w:tcW w:w="3036" w:type="dxa"/>
            <w:tcBorders>
              <w:left w:val="single" w:sz="4" w:space="0" w:color="auto"/>
            </w:tcBorders>
          </w:tcPr>
          <w:p w14:paraId="07AAA51C" w14:textId="2E15551A" w:rsidR="00654BED" w:rsidRPr="00654BED" w:rsidRDefault="00654BED" w:rsidP="00654BED">
            <w:pPr>
              <w:jc w:val="center"/>
              <w:rPr>
                <w:b/>
              </w:rPr>
            </w:pPr>
            <w:r w:rsidRPr="00654BED">
              <w:rPr>
                <w:b/>
              </w:rPr>
              <w:t xml:space="preserve">Количество обучающихся с </w:t>
            </w:r>
            <w:r w:rsidRPr="00654BED">
              <w:rPr>
                <w:b/>
                <w:lang w:val="en-US"/>
              </w:rPr>
              <w:t>GPA</w:t>
            </w:r>
            <w:r w:rsidRPr="00654BED">
              <w:rPr>
                <w:b/>
              </w:rPr>
              <w:t xml:space="preserve"> ниже переводного (претенденты на повторный курс)</w:t>
            </w:r>
          </w:p>
        </w:tc>
      </w:tr>
      <w:tr w:rsidR="00654BED" w14:paraId="3859CA82" w14:textId="1ADC3252" w:rsidTr="0044167F">
        <w:tc>
          <w:tcPr>
            <w:tcW w:w="8847" w:type="dxa"/>
            <w:gridSpan w:val="4"/>
          </w:tcPr>
          <w:p w14:paraId="0C8345B0" w14:textId="3CD994EF" w:rsidR="00654BED" w:rsidRPr="00264FD6" w:rsidRDefault="00654BED" w:rsidP="00E54A8E">
            <w:pPr>
              <w:jc w:val="center"/>
              <w:rPr>
                <w:b/>
                <w:lang w:val="en-US"/>
              </w:rPr>
            </w:pPr>
            <w:r w:rsidRPr="000F5BAC">
              <w:rPr>
                <w:b/>
              </w:rPr>
              <w:t>БАКАЛАВРИАТ:</w:t>
            </w:r>
          </w:p>
        </w:tc>
      </w:tr>
      <w:tr w:rsidR="00654BED" w14:paraId="15E6623C" w14:textId="0A03695D" w:rsidTr="0044167F">
        <w:tc>
          <w:tcPr>
            <w:tcW w:w="2268" w:type="dxa"/>
          </w:tcPr>
          <w:p w14:paraId="67BAA980" w14:textId="77777777" w:rsidR="00654BED" w:rsidRPr="000F5BAC" w:rsidRDefault="00654BED" w:rsidP="00E54A8E">
            <w:pPr>
              <w:jc w:val="both"/>
            </w:pPr>
            <w:r>
              <w:rPr>
                <w:bCs/>
              </w:rPr>
              <w:t>с</w:t>
            </w:r>
            <w:r w:rsidRPr="000F5BAC">
              <w:rPr>
                <w:bCs/>
              </w:rPr>
              <w:t xml:space="preserve"> 1 курса на 2 курс</w:t>
            </w:r>
          </w:p>
        </w:tc>
        <w:tc>
          <w:tcPr>
            <w:tcW w:w="1701" w:type="dxa"/>
          </w:tcPr>
          <w:p w14:paraId="7F059041" w14:textId="77777777" w:rsidR="00654BED" w:rsidRDefault="00654BED" w:rsidP="00E54A8E">
            <w:pPr>
              <w:jc w:val="center"/>
            </w:pPr>
            <w:r>
              <w:t>1,33</w:t>
            </w:r>
          </w:p>
        </w:tc>
        <w:tc>
          <w:tcPr>
            <w:tcW w:w="1842" w:type="dxa"/>
            <w:tcBorders>
              <w:right w:val="single" w:sz="4" w:space="0" w:color="auto"/>
            </w:tcBorders>
          </w:tcPr>
          <w:p w14:paraId="137BF804" w14:textId="31A99FE9" w:rsidR="00654BED" w:rsidRPr="0044167F" w:rsidRDefault="0044167F" w:rsidP="00E54A8E">
            <w:pPr>
              <w:jc w:val="center"/>
            </w:pPr>
            <w:r>
              <w:t>2184</w:t>
            </w:r>
          </w:p>
        </w:tc>
        <w:tc>
          <w:tcPr>
            <w:tcW w:w="3036" w:type="dxa"/>
            <w:tcBorders>
              <w:left w:val="single" w:sz="4" w:space="0" w:color="auto"/>
            </w:tcBorders>
          </w:tcPr>
          <w:p w14:paraId="3FEDC3C4" w14:textId="536876EC" w:rsidR="00654BED" w:rsidRPr="0044167F" w:rsidRDefault="0044167F" w:rsidP="00E54A8E">
            <w:pPr>
              <w:jc w:val="center"/>
            </w:pPr>
            <w:r>
              <w:t>1</w:t>
            </w:r>
          </w:p>
        </w:tc>
      </w:tr>
      <w:tr w:rsidR="00654BED" w14:paraId="2A2A2DB8" w14:textId="5421E0A5" w:rsidTr="0044167F">
        <w:tc>
          <w:tcPr>
            <w:tcW w:w="2268" w:type="dxa"/>
          </w:tcPr>
          <w:p w14:paraId="425354CA" w14:textId="77777777" w:rsidR="00654BED" w:rsidRPr="000F5BAC" w:rsidRDefault="00654BED" w:rsidP="00E54A8E">
            <w:pPr>
              <w:jc w:val="both"/>
            </w:pPr>
            <w:r>
              <w:rPr>
                <w:bCs/>
              </w:rPr>
              <w:t>с</w:t>
            </w:r>
            <w:r w:rsidRPr="000F5BAC">
              <w:rPr>
                <w:bCs/>
              </w:rPr>
              <w:t xml:space="preserve"> 2 курса на 3 курс</w:t>
            </w:r>
          </w:p>
        </w:tc>
        <w:tc>
          <w:tcPr>
            <w:tcW w:w="1701" w:type="dxa"/>
          </w:tcPr>
          <w:p w14:paraId="11E89DAE" w14:textId="77777777" w:rsidR="00654BED" w:rsidRDefault="00654BED" w:rsidP="00E54A8E">
            <w:pPr>
              <w:jc w:val="center"/>
            </w:pPr>
            <w:r>
              <w:t>1,67</w:t>
            </w:r>
          </w:p>
        </w:tc>
        <w:tc>
          <w:tcPr>
            <w:tcW w:w="1842" w:type="dxa"/>
            <w:tcBorders>
              <w:right w:val="single" w:sz="4" w:space="0" w:color="auto"/>
            </w:tcBorders>
          </w:tcPr>
          <w:p w14:paraId="23F5DCF3" w14:textId="4DA80F65" w:rsidR="00654BED" w:rsidRPr="0044167F" w:rsidRDefault="0044167F" w:rsidP="00E54A8E">
            <w:pPr>
              <w:jc w:val="center"/>
            </w:pPr>
            <w:r>
              <w:t>1218</w:t>
            </w:r>
          </w:p>
        </w:tc>
        <w:tc>
          <w:tcPr>
            <w:tcW w:w="3036" w:type="dxa"/>
            <w:tcBorders>
              <w:left w:val="single" w:sz="4" w:space="0" w:color="auto"/>
            </w:tcBorders>
          </w:tcPr>
          <w:p w14:paraId="32B3FD86" w14:textId="69A72E4C" w:rsidR="00654BED" w:rsidRPr="0044167F" w:rsidRDefault="0044167F" w:rsidP="00E54A8E">
            <w:pPr>
              <w:jc w:val="center"/>
            </w:pPr>
            <w:r>
              <w:t>11</w:t>
            </w:r>
          </w:p>
        </w:tc>
      </w:tr>
      <w:tr w:rsidR="00654BED" w14:paraId="14C6BD63" w14:textId="32D97F00" w:rsidTr="0044167F">
        <w:tc>
          <w:tcPr>
            <w:tcW w:w="2268" w:type="dxa"/>
          </w:tcPr>
          <w:p w14:paraId="2F28C4B6" w14:textId="77777777" w:rsidR="00654BED" w:rsidRPr="000F5BAC" w:rsidRDefault="00654BED" w:rsidP="00E54A8E">
            <w:pPr>
              <w:jc w:val="both"/>
              <w:rPr>
                <w:bCs/>
              </w:rPr>
            </w:pPr>
            <w:r>
              <w:rPr>
                <w:bCs/>
              </w:rPr>
              <w:t>с</w:t>
            </w:r>
            <w:r w:rsidRPr="000F5BAC">
              <w:rPr>
                <w:bCs/>
              </w:rPr>
              <w:t xml:space="preserve"> 3 курса на 4 курс</w:t>
            </w:r>
          </w:p>
        </w:tc>
        <w:tc>
          <w:tcPr>
            <w:tcW w:w="1701" w:type="dxa"/>
          </w:tcPr>
          <w:p w14:paraId="4A0F3DED" w14:textId="77777777" w:rsidR="00654BED" w:rsidRDefault="00654BED" w:rsidP="00E54A8E">
            <w:pPr>
              <w:jc w:val="center"/>
            </w:pPr>
            <w:r>
              <w:t>2,0</w:t>
            </w:r>
          </w:p>
        </w:tc>
        <w:tc>
          <w:tcPr>
            <w:tcW w:w="1842" w:type="dxa"/>
            <w:tcBorders>
              <w:right w:val="single" w:sz="4" w:space="0" w:color="auto"/>
            </w:tcBorders>
          </w:tcPr>
          <w:p w14:paraId="45C795B3" w14:textId="0AB62FDC" w:rsidR="00654BED" w:rsidRPr="00264FD6" w:rsidRDefault="00654BED" w:rsidP="00E54A8E">
            <w:pPr>
              <w:jc w:val="center"/>
              <w:rPr>
                <w:lang w:val="en-US"/>
              </w:rPr>
            </w:pPr>
          </w:p>
        </w:tc>
        <w:tc>
          <w:tcPr>
            <w:tcW w:w="3036" w:type="dxa"/>
            <w:tcBorders>
              <w:left w:val="single" w:sz="4" w:space="0" w:color="auto"/>
            </w:tcBorders>
          </w:tcPr>
          <w:p w14:paraId="0F2E9729" w14:textId="77777777" w:rsidR="0044167F" w:rsidRDefault="0044167F" w:rsidP="0044167F">
            <w:pPr>
              <w:jc w:val="center"/>
            </w:pPr>
            <w:r>
              <w:t xml:space="preserve">90 </w:t>
            </w:r>
          </w:p>
          <w:p w14:paraId="60AA438E" w14:textId="77777777" w:rsidR="00654BED" w:rsidRDefault="0044167F" w:rsidP="0044167F">
            <w:pPr>
              <w:jc w:val="center"/>
              <w:rPr>
                <w:sz w:val="20"/>
                <w:szCs w:val="20"/>
              </w:rPr>
            </w:pPr>
            <w:r w:rsidRPr="0044167F">
              <w:rPr>
                <w:sz w:val="20"/>
                <w:szCs w:val="20"/>
              </w:rPr>
              <w:t>(из них</w:t>
            </w:r>
            <w:r>
              <w:rPr>
                <w:sz w:val="20"/>
                <w:szCs w:val="20"/>
              </w:rPr>
              <w:t>:</w:t>
            </w:r>
            <w:r w:rsidRPr="0044167F">
              <w:rPr>
                <w:sz w:val="20"/>
                <w:szCs w:val="20"/>
              </w:rPr>
              <w:t xml:space="preserve"> 46 имеют </w:t>
            </w:r>
            <w:r w:rsidRPr="0044167F">
              <w:rPr>
                <w:sz w:val="20"/>
                <w:szCs w:val="20"/>
                <w:lang w:val="en-US"/>
              </w:rPr>
              <w:t>GPA</w:t>
            </w:r>
            <w:r w:rsidRPr="0044167F">
              <w:rPr>
                <w:sz w:val="20"/>
                <w:szCs w:val="20"/>
                <w:lang w:val="kk-KZ"/>
              </w:rPr>
              <w:t xml:space="preserve"> ниже 1</w:t>
            </w:r>
            <w:r w:rsidRPr="0044167F">
              <w:rPr>
                <w:sz w:val="20"/>
                <w:szCs w:val="20"/>
              </w:rPr>
              <w:t>,8</w:t>
            </w:r>
          </w:p>
          <w:p w14:paraId="5CE9EADB" w14:textId="649C997A" w:rsidR="0044167F" w:rsidRPr="0044167F" w:rsidRDefault="0044167F" w:rsidP="0044167F">
            <w:pPr>
              <w:jc w:val="center"/>
              <w:rPr>
                <w:sz w:val="20"/>
                <w:szCs w:val="20"/>
              </w:rPr>
            </w:pPr>
            <w:r>
              <w:rPr>
                <w:sz w:val="20"/>
                <w:szCs w:val="20"/>
              </w:rPr>
              <w:t xml:space="preserve">34 имеют </w:t>
            </w:r>
            <w:r w:rsidRPr="0044167F">
              <w:rPr>
                <w:sz w:val="20"/>
                <w:szCs w:val="20"/>
                <w:lang w:val="en-US"/>
              </w:rPr>
              <w:t>GPA</w:t>
            </w:r>
            <w:r w:rsidRPr="0044167F">
              <w:rPr>
                <w:sz w:val="20"/>
                <w:szCs w:val="20"/>
                <w:lang w:val="kk-KZ"/>
              </w:rPr>
              <w:t xml:space="preserve"> ниже 1</w:t>
            </w:r>
            <w:r w:rsidRPr="0044167F">
              <w:rPr>
                <w:sz w:val="20"/>
                <w:szCs w:val="20"/>
              </w:rPr>
              <w:t>,</w:t>
            </w:r>
            <w:r>
              <w:rPr>
                <w:sz w:val="20"/>
                <w:szCs w:val="20"/>
              </w:rPr>
              <w:t>67)</w:t>
            </w:r>
          </w:p>
        </w:tc>
      </w:tr>
      <w:tr w:rsidR="00654BED" w14:paraId="5BFD9DC2" w14:textId="48EC3280" w:rsidTr="0044167F">
        <w:tc>
          <w:tcPr>
            <w:tcW w:w="2268" w:type="dxa"/>
          </w:tcPr>
          <w:p w14:paraId="275C2BC6" w14:textId="77777777" w:rsidR="00654BED" w:rsidRPr="000F5BAC" w:rsidRDefault="00654BED" w:rsidP="00E54A8E">
            <w:pPr>
              <w:jc w:val="both"/>
              <w:rPr>
                <w:bCs/>
              </w:rPr>
            </w:pPr>
            <w:r>
              <w:rPr>
                <w:bCs/>
              </w:rPr>
              <w:t>с</w:t>
            </w:r>
            <w:r w:rsidRPr="000F5BAC">
              <w:rPr>
                <w:bCs/>
              </w:rPr>
              <w:t xml:space="preserve"> 4 на 5 курс</w:t>
            </w:r>
          </w:p>
        </w:tc>
        <w:tc>
          <w:tcPr>
            <w:tcW w:w="1701" w:type="dxa"/>
          </w:tcPr>
          <w:p w14:paraId="1608163C" w14:textId="77777777" w:rsidR="00654BED" w:rsidRDefault="00654BED" w:rsidP="00E54A8E">
            <w:pPr>
              <w:jc w:val="center"/>
            </w:pPr>
            <w:r>
              <w:t>2,0</w:t>
            </w:r>
          </w:p>
        </w:tc>
        <w:tc>
          <w:tcPr>
            <w:tcW w:w="1842" w:type="dxa"/>
            <w:tcBorders>
              <w:right w:val="single" w:sz="4" w:space="0" w:color="auto"/>
            </w:tcBorders>
          </w:tcPr>
          <w:p w14:paraId="4F49C454" w14:textId="0A56C478" w:rsidR="00654BED" w:rsidRPr="00264FD6" w:rsidRDefault="00654BED" w:rsidP="00E54A8E">
            <w:pPr>
              <w:jc w:val="center"/>
              <w:rPr>
                <w:lang w:val="en-US"/>
              </w:rPr>
            </w:pPr>
          </w:p>
        </w:tc>
        <w:tc>
          <w:tcPr>
            <w:tcW w:w="3036" w:type="dxa"/>
            <w:tcBorders>
              <w:left w:val="single" w:sz="4" w:space="0" w:color="auto"/>
            </w:tcBorders>
          </w:tcPr>
          <w:p w14:paraId="285A442C" w14:textId="77777777" w:rsidR="00654BED" w:rsidRPr="00264FD6" w:rsidRDefault="00654BED" w:rsidP="00E54A8E">
            <w:pPr>
              <w:jc w:val="center"/>
              <w:rPr>
                <w:lang w:val="en-US"/>
              </w:rPr>
            </w:pPr>
          </w:p>
        </w:tc>
      </w:tr>
      <w:tr w:rsidR="00654BED" w14:paraId="411E1185" w14:textId="1308A749" w:rsidTr="0044167F">
        <w:tc>
          <w:tcPr>
            <w:tcW w:w="8847" w:type="dxa"/>
            <w:gridSpan w:val="4"/>
          </w:tcPr>
          <w:p w14:paraId="4E064780" w14:textId="1605C0FC" w:rsidR="00654BED" w:rsidRPr="000F5BAC" w:rsidRDefault="00654BED" w:rsidP="00E54A8E">
            <w:pPr>
              <w:jc w:val="center"/>
              <w:rPr>
                <w:b/>
                <w:lang w:val="en-US"/>
              </w:rPr>
            </w:pPr>
            <w:r w:rsidRPr="000F5BAC">
              <w:rPr>
                <w:b/>
                <w:bCs/>
              </w:rPr>
              <w:t>МАГИСТРАТУРА и ДОКТОРАНТУРА</w:t>
            </w:r>
            <w:r>
              <w:rPr>
                <w:b/>
                <w:bCs/>
              </w:rPr>
              <w:t>:</w:t>
            </w:r>
          </w:p>
        </w:tc>
      </w:tr>
      <w:tr w:rsidR="00654BED" w14:paraId="13EFEB73" w14:textId="6396386F" w:rsidTr="0044167F">
        <w:tc>
          <w:tcPr>
            <w:tcW w:w="2268" w:type="dxa"/>
          </w:tcPr>
          <w:p w14:paraId="3992F17C" w14:textId="0AD4B642" w:rsidR="00654BED" w:rsidRPr="000F5BAC" w:rsidRDefault="00654BED" w:rsidP="0044167F">
            <w:pPr>
              <w:jc w:val="both"/>
              <w:rPr>
                <w:b/>
                <w:bCs/>
              </w:rPr>
            </w:pPr>
            <w:r>
              <w:rPr>
                <w:b/>
                <w:bCs/>
              </w:rPr>
              <w:t xml:space="preserve">с 1 на 2 год </w:t>
            </w:r>
          </w:p>
        </w:tc>
        <w:tc>
          <w:tcPr>
            <w:tcW w:w="1701" w:type="dxa"/>
          </w:tcPr>
          <w:p w14:paraId="5546F78A" w14:textId="5DE28941" w:rsidR="00654BED" w:rsidRDefault="00654BED" w:rsidP="00654BED">
            <w:pPr>
              <w:jc w:val="center"/>
            </w:pPr>
            <w:r>
              <w:t>2,0</w:t>
            </w:r>
          </w:p>
        </w:tc>
        <w:tc>
          <w:tcPr>
            <w:tcW w:w="1842" w:type="dxa"/>
            <w:tcBorders>
              <w:right w:val="single" w:sz="4" w:space="0" w:color="auto"/>
            </w:tcBorders>
          </w:tcPr>
          <w:p w14:paraId="1E934CA4" w14:textId="7981D2C4" w:rsidR="00654BED" w:rsidRPr="0044167F" w:rsidRDefault="0044167F" w:rsidP="00E54A8E">
            <w:pPr>
              <w:jc w:val="center"/>
            </w:pPr>
            <w:r>
              <w:t>176</w:t>
            </w:r>
          </w:p>
        </w:tc>
        <w:tc>
          <w:tcPr>
            <w:tcW w:w="3036" w:type="dxa"/>
            <w:tcBorders>
              <w:left w:val="single" w:sz="4" w:space="0" w:color="auto"/>
            </w:tcBorders>
          </w:tcPr>
          <w:p w14:paraId="14FFDFB5" w14:textId="047FB0AD" w:rsidR="00654BED" w:rsidRPr="0044167F" w:rsidRDefault="0044167F" w:rsidP="00E54A8E">
            <w:pPr>
              <w:jc w:val="center"/>
            </w:pPr>
            <w:r>
              <w:t>0</w:t>
            </w:r>
          </w:p>
        </w:tc>
      </w:tr>
      <w:tr w:rsidR="00654BED" w14:paraId="0AA86854" w14:textId="1A12778F" w:rsidTr="0044167F">
        <w:tc>
          <w:tcPr>
            <w:tcW w:w="2268" w:type="dxa"/>
          </w:tcPr>
          <w:p w14:paraId="76285345" w14:textId="1D60C317" w:rsidR="00654BED" w:rsidRPr="000F5BAC" w:rsidRDefault="00654BED" w:rsidP="0044167F">
            <w:pPr>
              <w:jc w:val="both"/>
              <w:rPr>
                <w:b/>
                <w:bCs/>
              </w:rPr>
            </w:pPr>
            <w:r>
              <w:rPr>
                <w:b/>
                <w:bCs/>
              </w:rPr>
              <w:t xml:space="preserve">Со 2 на 3 год </w:t>
            </w:r>
          </w:p>
        </w:tc>
        <w:tc>
          <w:tcPr>
            <w:tcW w:w="1701" w:type="dxa"/>
          </w:tcPr>
          <w:p w14:paraId="040F7CA0" w14:textId="001F1833" w:rsidR="00654BED" w:rsidRDefault="00654BED" w:rsidP="00654BED">
            <w:pPr>
              <w:jc w:val="center"/>
            </w:pPr>
            <w:r>
              <w:t>2,33</w:t>
            </w:r>
          </w:p>
        </w:tc>
        <w:tc>
          <w:tcPr>
            <w:tcW w:w="1842" w:type="dxa"/>
            <w:tcBorders>
              <w:right w:val="single" w:sz="4" w:space="0" w:color="auto"/>
            </w:tcBorders>
          </w:tcPr>
          <w:p w14:paraId="612CB1A8" w14:textId="379665A1" w:rsidR="00654BED" w:rsidRPr="0044167F" w:rsidRDefault="0044167F" w:rsidP="00E54A8E">
            <w:pPr>
              <w:jc w:val="center"/>
            </w:pPr>
            <w:r>
              <w:t>27</w:t>
            </w:r>
          </w:p>
        </w:tc>
        <w:tc>
          <w:tcPr>
            <w:tcW w:w="3036" w:type="dxa"/>
            <w:tcBorders>
              <w:left w:val="single" w:sz="4" w:space="0" w:color="auto"/>
            </w:tcBorders>
          </w:tcPr>
          <w:p w14:paraId="51815801" w14:textId="1FC59214" w:rsidR="00654BED" w:rsidRPr="0044167F" w:rsidRDefault="0044167F" w:rsidP="00E54A8E">
            <w:pPr>
              <w:jc w:val="center"/>
            </w:pPr>
            <w:r>
              <w:t>0</w:t>
            </w:r>
          </w:p>
        </w:tc>
      </w:tr>
    </w:tbl>
    <w:p w14:paraId="5BECE055" w14:textId="77777777" w:rsidR="00654BED" w:rsidRDefault="00654BED" w:rsidP="00067099">
      <w:pPr>
        <w:jc w:val="both"/>
      </w:pPr>
    </w:p>
    <w:p w14:paraId="2966F8F8" w14:textId="77777777" w:rsidR="00654BED" w:rsidRDefault="00654BED" w:rsidP="00067099">
      <w:pPr>
        <w:jc w:val="both"/>
      </w:pPr>
    </w:p>
    <w:p w14:paraId="481AB001" w14:textId="77777777" w:rsidR="00654BED" w:rsidRDefault="00654BED" w:rsidP="00067099">
      <w:pPr>
        <w:jc w:val="both"/>
      </w:pPr>
    </w:p>
    <w:p w14:paraId="0322058B" w14:textId="0254D0C1" w:rsidR="00654BED" w:rsidRPr="00654BED" w:rsidRDefault="00654BED" w:rsidP="00067099">
      <w:pPr>
        <w:jc w:val="both"/>
      </w:pPr>
      <w:r>
        <w:t xml:space="preserve"> </w:t>
      </w:r>
    </w:p>
    <w:p w14:paraId="4B3B69E8" w14:textId="77777777" w:rsidR="00654BED" w:rsidRDefault="00654BED" w:rsidP="00067099">
      <w:pPr>
        <w:jc w:val="both"/>
      </w:pPr>
    </w:p>
    <w:p w14:paraId="2F7B0026" w14:textId="77777777" w:rsidR="00067099" w:rsidRDefault="00067099" w:rsidP="00067099">
      <w:pPr>
        <w:jc w:val="both"/>
      </w:pPr>
    </w:p>
    <w:sectPr w:rsidR="00067099" w:rsidSect="0017055A">
      <w:pgSz w:w="11906" w:h="16838"/>
      <w:pgMar w:top="1134" w:right="1141" w:bottom="1134" w:left="124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D4538"/>
    <w:multiLevelType w:val="hybridMultilevel"/>
    <w:tmpl w:val="CE38BD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4C50FE"/>
    <w:multiLevelType w:val="multilevel"/>
    <w:tmpl w:val="B65C7C76"/>
    <w:lvl w:ilvl="0">
      <w:start w:val="3"/>
      <w:numFmt w:val="decimal"/>
      <w:lvlText w:val="%1"/>
      <w:lvlJc w:val="left"/>
      <w:pPr>
        <w:ind w:left="360" w:hanging="360"/>
      </w:pPr>
      <w:rPr>
        <w:color w:val="000000"/>
      </w:rPr>
    </w:lvl>
    <w:lvl w:ilvl="1">
      <w:start w:val="6"/>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 w15:restartNumberingAfterBreak="0">
    <w:nsid w:val="1FCC0271"/>
    <w:multiLevelType w:val="hybridMultilevel"/>
    <w:tmpl w:val="3BD83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0D7AB3"/>
    <w:multiLevelType w:val="multilevel"/>
    <w:tmpl w:val="084A3CE6"/>
    <w:lvl w:ilvl="0">
      <w:start w:val="3"/>
      <w:numFmt w:val="decimal"/>
      <w:lvlText w:val="%1"/>
      <w:lvlJc w:val="left"/>
      <w:pPr>
        <w:ind w:left="375" w:hanging="375"/>
      </w:pPr>
      <w:rPr>
        <w:rFonts w:hint="default"/>
      </w:rPr>
    </w:lvl>
    <w:lvl w:ilvl="1">
      <w:start w:val="4"/>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29862FA6"/>
    <w:multiLevelType w:val="hybridMultilevel"/>
    <w:tmpl w:val="FA844FAE"/>
    <w:lvl w:ilvl="0" w:tplc="74CAF1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AC506BA"/>
    <w:multiLevelType w:val="hybridMultilevel"/>
    <w:tmpl w:val="56BE0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C467E8"/>
    <w:multiLevelType w:val="hybridMultilevel"/>
    <w:tmpl w:val="F57C29A4"/>
    <w:lvl w:ilvl="0" w:tplc="7F8A5F3C">
      <w:start w:val="256"/>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6A47890"/>
    <w:multiLevelType w:val="hybridMultilevel"/>
    <w:tmpl w:val="16B0D0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E356A7"/>
    <w:multiLevelType w:val="hybridMultilevel"/>
    <w:tmpl w:val="2A2063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7301E6"/>
    <w:multiLevelType w:val="hybridMultilevel"/>
    <w:tmpl w:val="00B2EE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C0155B"/>
    <w:multiLevelType w:val="multilevel"/>
    <w:tmpl w:val="F9DADCE0"/>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55560DEB"/>
    <w:multiLevelType w:val="hybridMultilevel"/>
    <w:tmpl w:val="24B8E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AC5C71"/>
    <w:multiLevelType w:val="hybridMultilevel"/>
    <w:tmpl w:val="AEA0AF70"/>
    <w:lvl w:ilvl="0" w:tplc="BBA8C3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E6460DD"/>
    <w:multiLevelType w:val="hybridMultilevel"/>
    <w:tmpl w:val="9E20A194"/>
    <w:lvl w:ilvl="0" w:tplc="35020E9A">
      <w:start w:val="1"/>
      <w:numFmt w:val="bullet"/>
      <w:lvlText w:val=""/>
      <w:lvlJc w:val="left"/>
      <w:pPr>
        <w:tabs>
          <w:tab w:val="num" w:pos="720"/>
        </w:tabs>
        <w:ind w:left="720" w:hanging="360"/>
      </w:pPr>
      <w:rPr>
        <w:rFonts w:ascii="Wingdings 3" w:hAnsi="Wingdings 3" w:hint="default"/>
      </w:rPr>
    </w:lvl>
    <w:lvl w:ilvl="1" w:tplc="A032078E" w:tentative="1">
      <w:start w:val="1"/>
      <w:numFmt w:val="bullet"/>
      <w:lvlText w:val=""/>
      <w:lvlJc w:val="left"/>
      <w:pPr>
        <w:tabs>
          <w:tab w:val="num" w:pos="1440"/>
        </w:tabs>
        <w:ind w:left="1440" w:hanging="360"/>
      </w:pPr>
      <w:rPr>
        <w:rFonts w:ascii="Wingdings 3" w:hAnsi="Wingdings 3" w:hint="default"/>
      </w:rPr>
    </w:lvl>
    <w:lvl w:ilvl="2" w:tplc="5088D490" w:tentative="1">
      <w:start w:val="1"/>
      <w:numFmt w:val="bullet"/>
      <w:lvlText w:val=""/>
      <w:lvlJc w:val="left"/>
      <w:pPr>
        <w:tabs>
          <w:tab w:val="num" w:pos="2160"/>
        </w:tabs>
        <w:ind w:left="2160" w:hanging="360"/>
      </w:pPr>
      <w:rPr>
        <w:rFonts w:ascii="Wingdings 3" w:hAnsi="Wingdings 3" w:hint="default"/>
      </w:rPr>
    </w:lvl>
    <w:lvl w:ilvl="3" w:tplc="527814CC" w:tentative="1">
      <w:start w:val="1"/>
      <w:numFmt w:val="bullet"/>
      <w:lvlText w:val=""/>
      <w:lvlJc w:val="left"/>
      <w:pPr>
        <w:tabs>
          <w:tab w:val="num" w:pos="2880"/>
        </w:tabs>
        <w:ind w:left="2880" w:hanging="360"/>
      </w:pPr>
      <w:rPr>
        <w:rFonts w:ascii="Wingdings 3" w:hAnsi="Wingdings 3" w:hint="default"/>
      </w:rPr>
    </w:lvl>
    <w:lvl w:ilvl="4" w:tplc="3FF062DA" w:tentative="1">
      <w:start w:val="1"/>
      <w:numFmt w:val="bullet"/>
      <w:lvlText w:val=""/>
      <w:lvlJc w:val="left"/>
      <w:pPr>
        <w:tabs>
          <w:tab w:val="num" w:pos="3600"/>
        </w:tabs>
        <w:ind w:left="3600" w:hanging="360"/>
      </w:pPr>
      <w:rPr>
        <w:rFonts w:ascii="Wingdings 3" w:hAnsi="Wingdings 3" w:hint="default"/>
      </w:rPr>
    </w:lvl>
    <w:lvl w:ilvl="5" w:tplc="B9DCA710" w:tentative="1">
      <w:start w:val="1"/>
      <w:numFmt w:val="bullet"/>
      <w:lvlText w:val=""/>
      <w:lvlJc w:val="left"/>
      <w:pPr>
        <w:tabs>
          <w:tab w:val="num" w:pos="4320"/>
        </w:tabs>
        <w:ind w:left="4320" w:hanging="360"/>
      </w:pPr>
      <w:rPr>
        <w:rFonts w:ascii="Wingdings 3" w:hAnsi="Wingdings 3" w:hint="default"/>
      </w:rPr>
    </w:lvl>
    <w:lvl w:ilvl="6" w:tplc="8EC6C8D0" w:tentative="1">
      <w:start w:val="1"/>
      <w:numFmt w:val="bullet"/>
      <w:lvlText w:val=""/>
      <w:lvlJc w:val="left"/>
      <w:pPr>
        <w:tabs>
          <w:tab w:val="num" w:pos="5040"/>
        </w:tabs>
        <w:ind w:left="5040" w:hanging="360"/>
      </w:pPr>
      <w:rPr>
        <w:rFonts w:ascii="Wingdings 3" w:hAnsi="Wingdings 3" w:hint="default"/>
      </w:rPr>
    </w:lvl>
    <w:lvl w:ilvl="7" w:tplc="7A1AAA4C" w:tentative="1">
      <w:start w:val="1"/>
      <w:numFmt w:val="bullet"/>
      <w:lvlText w:val=""/>
      <w:lvlJc w:val="left"/>
      <w:pPr>
        <w:tabs>
          <w:tab w:val="num" w:pos="5760"/>
        </w:tabs>
        <w:ind w:left="5760" w:hanging="360"/>
      </w:pPr>
      <w:rPr>
        <w:rFonts w:ascii="Wingdings 3" w:hAnsi="Wingdings 3" w:hint="default"/>
      </w:rPr>
    </w:lvl>
    <w:lvl w:ilvl="8" w:tplc="9CA860A0"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60352F52"/>
    <w:multiLevelType w:val="multilevel"/>
    <w:tmpl w:val="1BEEC59C"/>
    <w:lvl w:ilvl="0">
      <w:start w:val="1"/>
      <w:numFmt w:val="decimal"/>
      <w:lvlText w:val="%1."/>
      <w:lvlJc w:val="left"/>
      <w:pPr>
        <w:ind w:left="928" w:hanging="360"/>
      </w:pPr>
      <w:rPr>
        <w:rFonts w:hint="default"/>
      </w:rPr>
    </w:lvl>
    <w:lvl w:ilvl="1">
      <w:start w:val="1"/>
      <w:numFmt w:val="decimal"/>
      <w:isLgl/>
      <w:lvlText w:val="%1.%2"/>
      <w:lvlJc w:val="left"/>
      <w:pPr>
        <w:ind w:left="2363" w:hanging="1512"/>
      </w:pPr>
      <w:rPr>
        <w:rFonts w:hint="default"/>
        <w:b w:val="0"/>
        <w:bCs/>
        <w:sz w:val="32"/>
        <w:szCs w:val="32"/>
      </w:rPr>
    </w:lvl>
    <w:lvl w:ilvl="2">
      <w:start w:val="1"/>
      <w:numFmt w:val="decimal"/>
      <w:isLgl/>
      <w:lvlText w:val="%1.%2.%3"/>
      <w:lvlJc w:val="left"/>
      <w:pPr>
        <w:ind w:left="2256" w:hanging="1512"/>
      </w:pPr>
      <w:rPr>
        <w:rFonts w:hint="default"/>
      </w:rPr>
    </w:lvl>
    <w:lvl w:ilvl="3">
      <w:start w:val="1"/>
      <w:numFmt w:val="decimal"/>
      <w:isLgl/>
      <w:lvlText w:val="%1.%2.%3.%4"/>
      <w:lvlJc w:val="left"/>
      <w:pPr>
        <w:ind w:left="2256" w:hanging="1512"/>
      </w:pPr>
      <w:rPr>
        <w:rFonts w:hint="default"/>
      </w:rPr>
    </w:lvl>
    <w:lvl w:ilvl="4">
      <w:start w:val="1"/>
      <w:numFmt w:val="decimal"/>
      <w:isLgl/>
      <w:lvlText w:val="%1.%2.%3.%4.%5"/>
      <w:lvlJc w:val="left"/>
      <w:pPr>
        <w:ind w:left="2256" w:hanging="1512"/>
      </w:pPr>
      <w:rPr>
        <w:rFonts w:hint="default"/>
      </w:rPr>
    </w:lvl>
    <w:lvl w:ilvl="5">
      <w:start w:val="1"/>
      <w:numFmt w:val="decimal"/>
      <w:isLgl/>
      <w:lvlText w:val="%1.%2.%3.%4.%5.%6"/>
      <w:lvlJc w:val="left"/>
      <w:pPr>
        <w:ind w:left="2256" w:hanging="1512"/>
      </w:pPr>
      <w:rPr>
        <w:rFonts w:hint="default"/>
      </w:rPr>
    </w:lvl>
    <w:lvl w:ilvl="6">
      <w:start w:val="1"/>
      <w:numFmt w:val="decimal"/>
      <w:isLgl/>
      <w:lvlText w:val="%1.%2.%3.%4.%5.%6.%7"/>
      <w:lvlJc w:val="left"/>
      <w:pPr>
        <w:ind w:left="2544" w:hanging="1800"/>
      </w:pPr>
      <w:rPr>
        <w:rFonts w:hint="default"/>
      </w:rPr>
    </w:lvl>
    <w:lvl w:ilvl="7">
      <w:start w:val="1"/>
      <w:numFmt w:val="decimal"/>
      <w:isLgl/>
      <w:lvlText w:val="%1.%2.%3.%4.%5.%6.%7.%8"/>
      <w:lvlJc w:val="left"/>
      <w:pPr>
        <w:ind w:left="2904" w:hanging="2160"/>
      </w:pPr>
      <w:rPr>
        <w:rFonts w:hint="default"/>
      </w:rPr>
    </w:lvl>
    <w:lvl w:ilvl="8">
      <w:start w:val="1"/>
      <w:numFmt w:val="decimal"/>
      <w:isLgl/>
      <w:lvlText w:val="%1.%2.%3.%4.%5.%6.%7.%8.%9"/>
      <w:lvlJc w:val="left"/>
      <w:pPr>
        <w:ind w:left="2904" w:hanging="2160"/>
      </w:pPr>
      <w:rPr>
        <w:rFonts w:hint="default"/>
      </w:rPr>
    </w:lvl>
  </w:abstractNum>
  <w:abstractNum w:abstractNumId="15" w15:restartNumberingAfterBreak="0">
    <w:nsid w:val="61DD2C1A"/>
    <w:multiLevelType w:val="hybridMultilevel"/>
    <w:tmpl w:val="8C7A91D2"/>
    <w:lvl w:ilvl="0" w:tplc="C43A65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5DE3EB8"/>
    <w:multiLevelType w:val="hybridMultilevel"/>
    <w:tmpl w:val="A2704AF2"/>
    <w:lvl w:ilvl="0" w:tplc="A8228D3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B7669F2"/>
    <w:multiLevelType w:val="multilevel"/>
    <w:tmpl w:val="A39E5F7C"/>
    <w:lvl w:ilvl="0">
      <w:start w:val="1"/>
      <w:numFmt w:val="decimal"/>
      <w:lvlText w:val="%1."/>
      <w:lvlJc w:val="left"/>
      <w:pPr>
        <w:ind w:left="3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03" w:hanging="720"/>
      </w:pPr>
      <w:rPr>
        <w:rFonts w:hint="default"/>
      </w:rPr>
    </w:lvl>
    <w:lvl w:ilvl="3">
      <w:start w:val="1"/>
      <w:numFmt w:val="decimal"/>
      <w:isLgl/>
      <w:lvlText w:val="%1.%2.%3.%4"/>
      <w:lvlJc w:val="left"/>
      <w:pPr>
        <w:ind w:left="3137" w:hanging="1080"/>
      </w:pPr>
      <w:rPr>
        <w:rFonts w:hint="default"/>
      </w:rPr>
    </w:lvl>
    <w:lvl w:ilvl="4">
      <w:start w:val="1"/>
      <w:numFmt w:val="decimal"/>
      <w:isLgl/>
      <w:lvlText w:val="%1.%2.%3.%4.%5"/>
      <w:lvlJc w:val="left"/>
      <w:pPr>
        <w:ind w:left="4171" w:hanging="1440"/>
      </w:pPr>
      <w:rPr>
        <w:rFonts w:hint="default"/>
      </w:rPr>
    </w:lvl>
    <w:lvl w:ilvl="5">
      <w:start w:val="1"/>
      <w:numFmt w:val="decimal"/>
      <w:isLgl/>
      <w:lvlText w:val="%1.%2.%3.%4.%5.%6"/>
      <w:lvlJc w:val="left"/>
      <w:pPr>
        <w:ind w:left="4845" w:hanging="1440"/>
      </w:pPr>
      <w:rPr>
        <w:rFonts w:hint="default"/>
      </w:rPr>
    </w:lvl>
    <w:lvl w:ilvl="6">
      <w:start w:val="1"/>
      <w:numFmt w:val="decimal"/>
      <w:isLgl/>
      <w:lvlText w:val="%1.%2.%3.%4.%5.%6.%7"/>
      <w:lvlJc w:val="left"/>
      <w:pPr>
        <w:ind w:left="5879" w:hanging="1800"/>
      </w:pPr>
      <w:rPr>
        <w:rFonts w:hint="default"/>
      </w:rPr>
    </w:lvl>
    <w:lvl w:ilvl="7">
      <w:start w:val="1"/>
      <w:numFmt w:val="decimal"/>
      <w:isLgl/>
      <w:lvlText w:val="%1.%2.%3.%4.%5.%6.%7.%8"/>
      <w:lvlJc w:val="left"/>
      <w:pPr>
        <w:ind w:left="6913" w:hanging="2160"/>
      </w:pPr>
      <w:rPr>
        <w:rFonts w:hint="default"/>
      </w:rPr>
    </w:lvl>
    <w:lvl w:ilvl="8">
      <w:start w:val="1"/>
      <w:numFmt w:val="decimal"/>
      <w:isLgl/>
      <w:lvlText w:val="%1.%2.%3.%4.%5.%6.%7.%8.%9"/>
      <w:lvlJc w:val="left"/>
      <w:pPr>
        <w:ind w:left="7587" w:hanging="2160"/>
      </w:pPr>
      <w:rPr>
        <w:rFonts w:hint="default"/>
      </w:rPr>
    </w:lvl>
  </w:abstractNum>
  <w:abstractNum w:abstractNumId="18" w15:restartNumberingAfterBreak="0">
    <w:nsid w:val="6F2540D4"/>
    <w:multiLevelType w:val="hybridMultilevel"/>
    <w:tmpl w:val="685AA7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F49056F"/>
    <w:multiLevelType w:val="hybridMultilevel"/>
    <w:tmpl w:val="C9B4AF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0A3733B"/>
    <w:multiLevelType w:val="hybridMultilevel"/>
    <w:tmpl w:val="B88A27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06799D"/>
    <w:multiLevelType w:val="hybridMultilevel"/>
    <w:tmpl w:val="78EC5D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C339CA"/>
    <w:multiLevelType w:val="hybridMultilevel"/>
    <w:tmpl w:val="4210DEF8"/>
    <w:lvl w:ilvl="0" w:tplc="CAD28798">
      <w:start w:val="1"/>
      <w:numFmt w:val="decimal"/>
      <w:lvlText w:val="%1."/>
      <w:lvlJc w:val="left"/>
      <w:pPr>
        <w:ind w:left="1069" w:hanging="360"/>
      </w:pPr>
      <w:rPr>
        <w:rFonts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CE8346D"/>
    <w:multiLevelType w:val="hybridMultilevel"/>
    <w:tmpl w:val="56DC9034"/>
    <w:lvl w:ilvl="0" w:tplc="95E4E02C">
      <w:start w:val="1"/>
      <w:numFmt w:val="decimal"/>
      <w:lvlText w:val="%1."/>
      <w:lvlJc w:val="left"/>
      <w:pPr>
        <w:ind w:left="1069"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D55759D"/>
    <w:multiLevelType w:val="hybridMultilevel"/>
    <w:tmpl w:val="2F02D374"/>
    <w:lvl w:ilvl="0" w:tplc="07848F90">
      <w:start w:val="1"/>
      <w:numFmt w:val="decimal"/>
      <w:lvlText w:val="%1."/>
      <w:lvlJc w:val="left"/>
      <w:pPr>
        <w:ind w:left="3196"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4"/>
  </w:num>
  <w:num w:numId="4">
    <w:abstractNumId w:val="3"/>
  </w:num>
  <w:num w:numId="5">
    <w:abstractNumId w:val="23"/>
  </w:num>
  <w:num w:numId="6">
    <w:abstractNumId w:val="17"/>
  </w:num>
  <w:num w:numId="7">
    <w:abstractNumId w:val="0"/>
  </w:num>
  <w:num w:numId="8">
    <w:abstractNumId w:val="16"/>
  </w:num>
  <w:num w:numId="9">
    <w:abstractNumId w:val="13"/>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 w:numId="13">
    <w:abstractNumId w:val="18"/>
  </w:num>
  <w:num w:numId="14">
    <w:abstractNumId w:val="20"/>
  </w:num>
  <w:num w:numId="15">
    <w:abstractNumId w:val="7"/>
  </w:num>
  <w:num w:numId="16">
    <w:abstractNumId w:val="9"/>
  </w:num>
  <w:num w:numId="17">
    <w:abstractNumId w:val="11"/>
  </w:num>
  <w:num w:numId="18">
    <w:abstractNumId w:val="21"/>
  </w:num>
  <w:num w:numId="19">
    <w:abstractNumId w:val="5"/>
  </w:num>
  <w:num w:numId="20">
    <w:abstractNumId w:val="15"/>
  </w:num>
  <w:num w:numId="21">
    <w:abstractNumId w:val="2"/>
  </w:num>
  <w:num w:numId="22">
    <w:abstractNumId w:val="22"/>
  </w:num>
  <w:num w:numId="23">
    <w:abstractNumId w:val="24"/>
  </w:num>
  <w:num w:numId="24">
    <w:abstractNumId w:val="6"/>
  </w:num>
  <w:num w:numId="25">
    <w:abstractNumId w:val="1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5EB"/>
    <w:rsid w:val="00037EF4"/>
    <w:rsid w:val="00052C5D"/>
    <w:rsid w:val="00067099"/>
    <w:rsid w:val="00084DD5"/>
    <w:rsid w:val="000A36AE"/>
    <w:rsid w:val="000B7B59"/>
    <w:rsid w:val="000F5BAC"/>
    <w:rsid w:val="00103ED4"/>
    <w:rsid w:val="001667DE"/>
    <w:rsid w:val="0017055A"/>
    <w:rsid w:val="0019666F"/>
    <w:rsid w:val="001A600A"/>
    <w:rsid w:val="001A6AB1"/>
    <w:rsid w:val="001B22B8"/>
    <w:rsid w:val="00264FD6"/>
    <w:rsid w:val="002C2BFE"/>
    <w:rsid w:val="00316B77"/>
    <w:rsid w:val="00350720"/>
    <w:rsid w:val="00367B78"/>
    <w:rsid w:val="004014CC"/>
    <w:rsid w:val="004042F1"/>
    <w:rsid w:val="0044167F"/>
    <w:rsid w:val="00444329"/>
    <w:rsid w:val="004B716B"/>
    <w:rsid w:val="004E3212"/>
    <w:rsid w:val="004E6DA4"/>
    <w:rsid w:val="00524BFC"/>
    <w:rsid w:val="00532E76"/>
    <w:rsid w:val="005540EE"/>
    <w:rsid w:val="00573118"/>
    <w:rsid w:val="00587D89"/>
    <w:rsid w:val="00591A52"/>
    <w:rsid w:val="006025A8"/>
    <w:rsid w:val="00615524"/>
    <w:rsid w:val="00654BED"/>
    <w:rsid w:val="006615A0"/>
    <w:rsid w:val="00663AD8"/>
    <w:rsid w:val="006E0B4F"/>
    <w:rsid w:val="0071713F"/>
    <w:rsid w:val="0072150F"/>
    <w:rsid w:val="007337F3"/>
    <w:rsid w:val="00813955"/>
    <w:rsid w:val="008408CF"/>
    <w:rsid w:val="00892594"/>
    <w:rsid w:val="008B06C2"/>
    <w:rsid w:val="0096694D"/>
    <w:rsid w:val="00983064"/>
    <w:rsid w:val="00A80087"/>
    <w:rsid w:val="00A81F61"/>
    <w:rsid w:val="00A93EDA"/>
    <w:rsid w:val="00AB16DA"/>
    <w:rsid w:val="00AC1741"/>
    <w:rsid w:val="00AE7B17"/>
    <w:rsid w:val="00B355C8"/>
    <w:rsid w:val="00B358C9"/>
    <w:rsid w:val="00B705EB"/>
    <w:rsid w:val="00B773BE"/>
    <w:rsid w:val="00BA5C9D"/>
    <w:rsid w:val="00BD05E6"/>
    <w:rsid w:val="00BE4334"/>
    <w:rsid w:val="00C21E66"/>
    <w:rsid w:val="00C23CF6"/>
    <w:rsid w:val="00C249D9"/>
    <w:rsid w:val="00C51AE0"/>
    <w:rsid w:val="00C73A55"/>
    <w:rsid w:val="00C87536"/>
    <w:rsid w:val="00CB1351"/>
    <w:rsid w:val="00CD7783"/>
    <w:rsid w:val="00DA05DA"/>
    <w:rsid w:val="00DD2F55"/>
    <w:rsid w:val="00DF5439"/>
    <w:rsid w:val="00DF59E6"/>
    <w:rsid w:val="00E665E5"/>
    <w:rsid w:val="00E77B49"/>
    <w:rsid w:val="00E909CE"/>
    <w:rsid w:val="00EA381E"/>
    <w:rsid w:val="00EC2E44"/>
    <w:rsid w:val="00EE01E5"/>
    <w:rsid w:val="00EE2F77"/>
    <w:rsid w:val="00F252F5"/>
    <w:rsid w:val="00F3050C"/>
    <w:rsid w:val="00F839F6"/>
    <w:rsid w:val="00FA1269"/>
    <w:rsid w:val="00FE4256"/>
    <w:rsid w:val="00FE67B8"/>
    <w:rsid w:val="00FF6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C5C9"/>
  <w15:docId w15:val="{1CB3FCEE-EE08-47A8-954C-CF323D8A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2F5"/>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DD2F5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маркированный Знак,без абзаца Знак,ПАРАГРАФ Знак,Heading1 Знак,Colorful List - Accent 11 Знак,Colorful List - Accent 11CxSpLast Знак,H1-1 Знак,Заголовок3 Знак,Bullet 1 Знак,Use Case List Paragraph Знак,List Paragraph Знак"/>
    <w:basedOn w:val="a0"/>
    <w:link w:val="a4"/>
    <w:uiPriority w:val="34"/>
    <w:locked/>
    <w:rsid w:val="00F252F5"/>
    <w:rPr>
      <w:rFonts w:ascii="Times New Roman" w:eastAsia="Times New Roman" w:hAnsi="Times New Roman" w:cs="Times New Roman"/>
      <w:sz w:val="24"/>
      <w:szCs w:val="24"/>
      <w:lang w:eastAsia="ru-RU"/>
    </w:rPr>
  </w:style>
  <w:style w:type="paragraph" w:styleId="a4">
    <w:name w:val="List Paragraph"/>
    <w:aliases w:val="маркированный,без абзаца,ПАРАГРАФ,Heading1,Colorful List - Accent 11,Colorful List - Accent 11CxSpLast,H1-1,Заголовок3,Bullet 1,Use Case List Paragraph,List Paragraph,Абзац списка2"/>
    <w:basedOn w:val="a"/>
    <w:link w:val="a3"/>
    <w:uiPriority w:val="34"/>
    <w:qFormat/>
    <w:rsid w:val="00F252F5"/>
    <w:pPr>
      <w:ind w:left="720"/>
      <w:contextualSpacing/>
    </w:pPr>
  </w:style>
  <w:style w:type="table" w:styleId="a5">
    <w:name w:val="Table Grid"/>
    <w:basedOn w:val="a1"/>
    <w:uiPriority w:val="59"/>
    <w:rsid w:val="00F252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w:basedOn w:val="a"/>
    <w:link w:val="a7"/>
    <w:rsid w:val="00F252F5"/>
    <w:pPr>
      <w:widowControl w:val="0"/>
      <w:spacing w:line="360" w:lineRule="auto"/>
      <w:jc w:val="center"/>
    </w:pPr>
    <w:rPr>
      <w:b/>
      <w:caps/>
      <w:snapToGrid w:val="0"/>
      <w:sz w:val="28"/>
      <w:szCs w:val="20"/>
      <w:lang w:eastAsia="ja-JP"/>
    </w:rPr>
  </w:style>
  <w:style w:type="character" w:customStyle="1" w:styleId="a7">
    <w:name w:val="Основной текст Знак"/>
    <w:basedOn w:val="a0"/>
    <w:link w:val="a6"/>
    <w:rsid w:val="00F252F5"/>
    <w:rPr>
      <w:rFonts w:ascii="Times New Roman" w:eastAsia="Times New Roman" w:hAnsi="Times New Roman" w:cs="Times New Roman"/>
      <w:b/>
      <w:caps/>
      <w:snapToGrid w:val="0"/>
      <w:sz w:val="28"/>
      <w:szCs w:val="20"/>
      <w:lang w:eastAsia="ja-JP"/>
    </w:rPr>
  </w:style>
  <w:style w:type="paragraph" w:styleId="HTML">
    <w:name w:val="HTML Preformatted"/>
    <w:basedOn w:val="a"/>
    <w:link w:val="HTML0"/>
    <w:uiPriority w:val="99"/>
    <w:unhideWhenUsed/>
    <w:rsid w:val="00983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83064"/>
    <w:rPr>
      <w:rFonts w:ascii="Courier New" w:eastAsia="Times New Roman" w:hAnsi="Courier New" w:cs="Courier New"/>
      <w:sz w:val="20"/>
      <w:szCs w:val="20"/>
      <w:lang w:eastAsia="ru-RU"/>
    </w:rPr>
  </w:style>
  <w:style w:type="paragraph" w:customStyle="1" w:styleId="Default">
    <w:name w:val="Default"/>
    <w:rsid w:val="00BA5C9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8">
    <w:name w:val="Hyperlink"/>
    <w:basedOn w:val="a0"/>
    <w:uiPriority w:val="99"/>
    <w:unhideWhenUsed/>
    <w:rsid w:val="00DD2F55"/>
    <w:rPr>
      <w:color w:val="0563C1" w:themeColor="hyperlink"/>
      <w:u w:val="single"/>
    </w:rPr>
  </w:style>
  <w:style w:type="character" w:customStyle="1" w:styleId="30">
    <w:name w:val="Заголовок 3 Знак"/>
    <w:basedOn w:val="a0"/>
    <w:link w:val="3"/>
    <w:uiPriority w:val="9"/>
    <w:rsid w:val="00DD2F55"/>
    <w:rPr>
      <w:rFonts w:ascii="Times New Roman" w:eastAsia="Times New Roman" w:hAnsi="Times New Roman" w:cs="Times New Roman"/>
      <w:b/>
      <w:bCs/>
      <w:sz w:val="27"/>
      <w:szCs w:val="27"/>
      <w:lang w:eastAsia="ru-RU"/>
    </w:rPr>
  </w:style>
  <w:style w:type="paragraph" w:styleId="a9">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a"/>
    <w:uiPriority w:val="99"/>
    <w:unhideWhenUsed/>
    <w:qFormat/>
    <w:rsid w:val="00DD2F55"/>
    <w:pPr>
      <w:spacing w:before="100" w:beforeAutospacing="1" w:after="100" w:afterAutospacing="1"/>
    </w:pPr>
  </w:style>
  <w:style w:type="character" w:customStyle="1" w:styleId="aa">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9"/>
    <w:uiPriority w:val="99"/>
    <w:locked/>
    <w:rsid w:val="00C87536"/>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665E5"/>
    <w:rPr>
      <w:rFonts w:ascii="Segoe UI" w:hAnsi="Segoe UI" w:cs="Segoe UI"/>
      <w:sz w:val="18"/>
      <w:szCs w:val="18"/>
    </w:rPr>
  </w:style>
  <w:style w:type="character" w:customStyle="1" w:styleId="ac">
    <w:name w:val="Текст выноски Знак"/>
    <w:basedOn w:val="a0"/>
    <w:link w:val="ab"/>
    <w:uiPriority w:val="99"/>
    <w:semiHidden/>
    <w:rsid w:val="00E665E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854772">
      <w:bodyDiv w:val="1"/>
      <w:marLeft w:val="0"/>
      <w:marRight w:val="0"/>
      <w:marTop w:val="0"/>
      <w:marBottom w:val="0"/>
      <w:divBdr>
        <w:top w:val="none" w:sz="0" w:space="0" w:color="auto"/>
        <w:left w:val="none" w:sz="0" w:space="0" w:color="auto"/>
        <w:bottom w:val="none" w:sz="0" w:space="0" w:color="auto"/>
        <w:right w:val="none" w:sz="0" w:space="0" w:color="auto"/>
      </w:divBdr>
    </w:div>
    <w:div w:id="785151220">
      <w:bodyDiv w:val="1"/>
      <w:marLeft w:val="0"/>
      <w:marRight w:val="0"/>
      <w:marTop w:val="0"/>
      <w:marBottom w:val="0"/>
      <w:divBdr>
        <w:top w:val="none" w:sz="0" w:space="0" w:color="auto"/>
        <w:left w:val="none" w:sz="0" w:space="0" w:color="auto"/>
        <w:bottom w:val="none" w:sz="0" w:space="0" w:color="auto"/>
        <w:right w:val="none" w:sz="0" w:space="0" w:color="auto"/>
      </w:divBdr>
    </w:div>
    <w:div w:id="967708999">
      <w:bodyDiv w:val="1"/>
      <w:marLeft w:val="0"/>
      <w:marRight w:val="0"/>
      <w:marTop w:val="0"/>
      <w:marBottom w:val="0"/>
      <w:divBdr>
        <w:top w:val="none" w:sz="0" w:space="0" w:color="auto"/>
        <w:left w:val="none" w:sz="0" w:space="0" w:color="auto"/>
        <w:bottom w:val="none" w:sz="0" w:space="0" w:color="auto"/>
        <w:right w:val="none" w:sz="0" w:space="0" w:color="auto"/>
      </w:divBdr>
    </w:div>
    <w:div w:id="1006976243">
      <w:bodyDiv w:val="1"/>
      <w:marLeft w:val="0"/>
      <w:marRight w:val="0"/>
      <w:marTop w:val="0"/>
      <w:marBottom w:val="0"/>
      <w:divBdr>
        <w:top w:val="none" w:sz="0" w:space="0" w:color="auto"/>
        <w:left w:val="none" w:sz="0" w:space="0" w:color="auto"/>
        <w:bottom w:val="none" w:sz="0" w:space="0" w:color="auto"/>
        <w:right w:val="none" w:sz="0" w:space="0" w:color="auto"/>
      </w:divBdr>
    </w:div>
    <w:div w:id="1150949404">
      <w:bodyDiv w:val="1"/>
      <w:marLeft w:val="0"/>
      <w:marRight w:val="0"/>
      <w:marTop w:val="0"/>
      <w:marBottom w:val="0"/>
      <w:divBdr>
        <w:top w:val="none" w:sz="0" w:space="0" w:color="auto"/>
        <w:left w:val="none" w:sz="0" w:space="0" w:color="auto"/>
        <w:bottom w:val="none" w:sz="0" w:space="0" w:color="auto"/>
        <w:right w:val="none" w:sz="0" w:space="0" w:color="auto"/>
      </w:divBdr>
    </w:div>
    <w:div w:id="1470130886">
      <w:bodyDiv w:val="1"/>
      <w:marLeft w:val="0"/>
      <w:marRight w:val="0"/>
      <w:marTop w:val="0"/>
      <w:marBottom w:val="0"/>
      <w:divBdr>
        <w:top w:val="none" w:sz="0" w:space="0" w:color="auto"/>
        <w:left w:val="none" w:sz="0" w:space="0" w:color="auto"/>
        <w:bottom w:val="none" w:sz="0" w:space="0" w:color="auto"/>
        <w:right w:val="none" w:sz="0" w:space="0" w:color="auto"/>
      </w:divBdr>
      <w:divsChild>
        <w:div w:id="1179809947">
          <w:marLeft w:val="576"/>
          <w:marRight w:val="0"/>
          <w:marTop w:val="160"/>
          <w:marBottom w:val="0"/>
          <w:divBdr>
            <w:top w:val="none" w:sz="0" w:space="0" w:color="auto"/>
            <w:left w:val="none" w:sz="0" w:space="0" w:color="auto"/>
            <w:bottom w:val="none" w:sz="0" w:space="0" w:color="auto"/>
            <w:right w:val="none" w:sz="0" w:space="0" w:color="auto"/>
          </w:divBdr>
        </w:div>
        <w:div w:id="592664639">
          <w:marLeft w:val="576"/>
          <w:marRight w:val="0"/>
          <w:marTop w:val="160"/>
          <w:marBottom w:val="0"/>
          <w:divBdr>
            <w:top w:val="none" w:sz="0" w:space="0" w:color="auto"/>
            <w:left w:val="none" w:sz="0" w:space="0" w:color="auto"/>
            <w:bottom w:val="none" w:sz="0" w:space="0" w:color="auto"/>
            <w:right w:val="none" w:sz="0" w:space="0" w:color="auto"/>
          </w:divBdr>
        </w:div>
        <w:div w:id="1942838223">
          <w:marLeft w:val="576"/>
          <w:marRight w:val="0"/>
          <w:marTop w:val="160"/>
          <w:marBottom w:val="0"/>
          <w:divBdr>
            <w:top w:val="none" w:sz="0" w:space="0" w:color="auto"/>
            <w:left w:val="none" w:sz="0" w:space="0" w:color="auto"/>
            <w:bottom w:val="none" w:sz="0" w:space="0" w:color="auto"/>
            <w:right w:val="none" w:sz="0" w:space="0" w:color="auto"/>
          </w:divBdr>
        </w:div>
        <w:div w:id="2104262053">
          <w:marLeft w:val="576"/>
          <w:marRight w:val="0"/>
          <w:marTop w:val="160"/>
          <w:marBottom w:val="0"/>
          <w:divBdr>
            <w:top w:val="none" w:sz="0" w:space="0" w:color="auto"/>
            <w:left w:val="none" w:sz="0" w:space="0" w:color="auto"/>
            <w:bottom w:val="none" w:sz="0" w:space="0" w:color="auto"/>
            <w:right w:val="none" w:sz="0" w:space="0" w:color="auto"/>
          </w:divBdr>
        </w:div>
        <w:div w:id="842404082">
          <w:marLeft w:val="576"/>
          <w:marRight w:val="0"/>
          <w:marTop w:val="160"/>
          <w:marBottom w:val="0"/>
          <w:divBdr>
            <w:top w:val="none" w:sz="0" w:space="0" w:color="auto"/>
            <w:left w:val="none" w:sz="0" w:space="0" w:color="auto"/>
            <w:bottom w:val="none" w:sz="0" w:space="0" w:color="auto"/>
            <w:right w:val="none" w:sz="0" w:space="0" w:color="auto"/>
          </w:divBdr>
        </w:div>
        <w:div w:id="1463766869">
          <w:marLeft w:val="576"/>
          <w:marRight w:val="0"/>
          <w:marTop w:val="160"/>
          <w:marBottom w:val="0"/>
          <w:divBdr>
            <w:top w:val="none" w:sz="0" w:space="0" w:color="auto"/>
            <w:left w:val="none" w:sz="0" w:space="0" w:color="auto"/>
            <w:bottom w:val="none" w:sz="0" w:space="0" w:color="auto"/>
            <w:right w:val="none" w:sz="0" w:space="0" w:color="auto"/>
          </w:divBdr>
        </w:div>
        <w:div w:id="1585798280">
          <w:marLeft w:val="576"/>
          <w:marRight w:val="0"/>
          <w:marTop w:val="160"/>
          <w:marBottom w:val="0"/>
          <w:divBdr>
            <w:top w:val="none" w:sz="0" w:space="0" w:color="auto"/>
            <w:left w:val="none" w:sz="0" w:space="0" w:color="auto"/>
            <w:bottom w:val="none" w:sz="0" w:space="0" w:color="auto"/>
            <w:right w:val="none" w:sz="0" w:space="0" w:color="auto"/>
          </w:divBdr>
        </w:div>
        <w:div w:id="639919497">
          <w:marLeft w:val="576"/>
          <w:marRight w:val="0"/>
          <w:marTop w:val="160"/>
          <w:marBottom w:val="0"/>
          <w:divBdr>
            <w:top w:val="none" w:sz="0" w:space="0" w:color="auto"/>
            <w:left w:val="none" w:sz="0" w:space="0" w:color="auto"/>
            <w:bottom w:val="none" w:sz="0" w:space="0" w:color="auto"/>
            <w:right w:val="none" w:sz="0" w:space="0" w:color="auto"/>
          </w:divBdr>
        </w:div>
      </w:divsChild>
    </w:div>
    <w:div w:id="1565987914">
      <w:bodyDiv w:val="1"/>
      <w:marLeft w:val="0"/>
      <w:marRight w:val="0"/>
      <w:marTop w:val="0"/>
      <w:marBottom w:val="0"/>
      <w:divBdr>
        <w:top w:val="none" w:sz="0" w:space="0" w:color="auto"/>
        <w:left w:val="none" w:sz="0" w:space="0" w:color="auto"/>
        <w:bottom w:val="none" w:sz="0" w:space="0" w:color="auto"/>
        <w:right w:val="none" w:sz="0" w:space="0" w:color="auto"/>
      </w:divBdr>
    </w:div>
    <w:div w:id="1634093873">
      <w:bodyDiv w:val="1"/>
      <w:marLeft w:val="0"/>
      <w:marRight w:val="0"/>
      <w:marTop w:val="0"/>
      <w:marBottom w:val="0"/>
      <w:divBdr>
        <w:top w:val="none" w:sz="0" w:space="0" w:color="auto"/>
        <w:left w:val="none" w:sz="0" w:space="0" w:color="auto"/>
        <w:bottom w:val="none" w:sz="0" w:space="0" w:color="auto"/>
        <w:right w:val="none" w:sz="0" w:space="0" w:color="auto"/>
      </w:divBdr>
    </w:div>
    <w:div w:id="1749570313">
      <w:bodyDiv w:val="1"/>
      <w:marLeft w:val="0"/>
      <w:marRight w:val="0"/>
      <w:marTop w:val="0"/>
      <w:marBottom w:val="0"/>
      <w:divBdr>
        <w:top w:val="none" w:sz="0" w:space="0" w:color="auto"/>
        <w:left w:val="none" w:sz="0" w:space="0" w:color="auto"/>
        <w:bottom w:val="none" w:sz="0" w:space="0" w:color="auto"/>
        <w:right w:val="none" w:sz="0" w:space="0" w:color="auto"/>
      </w:divBdr>
    </w:div>
    <w:div w:id="1817795567">
      <w:bodyDiv w:val="1"/>
      <w:marLeft w:val="0"/>
      <w:marRight w:val="0"/>
      <w:marTop w:val="0"/>
      <w:marBottom w:val="0"/>
      <w:divBdr>
        <w:top w:val="none" w:sz="0" w:space="0" w:color="auto"/>
        <w:left w:val="none" w:sz="0" w:space="0" w:color="auto"/>
        <w:bottom w:val="none" w:sz="0" w:space="0" w:color="auto"/>
        <w:right w:val="none" w:sz="0" w:space="0" w:color="auto"/>
      </w:divBdr>
    </w:div>
    <w:div w:id="2059432196">
      <w:bodyDiv w:val="1"/>
      <w:marLeft w:val="0"/>
      <w:marRight w:val="0"/>
      <w:marTop w:val="0"/>
      <w:marBottom w:val="0"/>
      <w:divBdr>
        <w:top w:val="none" w:sz="0" w:space="0" w:color="auto"/>
        <w:left w:val="none" w:sz="0" w:space="0" w:color="auto"/>
        <w:bottom w:val="none" w:sz="0" w:space="0" w:color="auto"/>
        <w:right w:val="none" w:sz="0" w:space="0" w:color="auto"/>
      </w:divBdr>
    </w:div>
    <w:div w:id="2104522080">
      <w:bodyDiv w:val="1"/>
      <w:marLeft w:val="0"/>
      <w:marRight w:val="0"/>
      <w:marTop w:val="0"/>
      <w:marBottom w:val="0"/>
      <w:divBdr>
        <w:top w:val="none" w:sz="0" w:space="0" w:color="auto"/>
        <w:left w:val="none" w:sz="0" w:space="0" w:color="auto"/>
        <w:bottom w:val="none" w:sz="0" w:space="0" w:color="auto"/>
        <w:right w:val="none" w:sz="0" w:space="0" w:color="auto"/>
      </w:divBdr>
    </w:div>
    <w:div w:id="210476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KRU-3-315</dc:creator>
  <cp:keywords/>
  <dc:description/>
  <cp:lastModifiedBy>KRU-3-315</cp:lastModifiedBy>
  <cp:revision>2</cp:revision>
  <cp:lastPrinted>2023-01-19T11:09:00Z</cp:lastPrinted>
  <dcterms:created xsi:type="dcterms:W3CDTF">2023-02-09T05:32:00Z</dcterms:created>
  <dcterms:modified xsi:type="dcterms:W3CDTF">2023-02-09T05:32:00Z</dcterms:modified>
</cp:coreProperties>
</file>