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D6B82" w:rsidTr="004D6B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82" w:rsidRDefault="004D6B82">
            <w:pPr>
              <w:spacing w:line="276" w:lineRule="auto"/>
              <w:jc w:val="left"/>
              <w:rPr>
                <w:color w:val="000000"/>
                <w:sz w:val="24"/>
                <w:szCs w:val="24"/>
                <w:lang w:val="kk-KZ" w:eastAsia="ja-JP"/>
              </w:rPr>
            </w:pPr>
            <w:r>
              <w:rPr>
                <w:color w:val="000000"/>
                <w:sz w:val="24"/>
                <w:szCs w:val="24"/>
                <w:lang w:val="kk-KZ" w:eastAsia="ja-JP"/>
              </w:rPr>
              <w:t>«А.Байтұрсынов атындағы</w:t>
            </w:r>
          </w:p>
          <w:p w:rsidR="004D6B82" w:rsidRDefault="004D6B82">
            <w:pPr>
              <w:spacing w:line="276" w:lineRule="auto"/>
              <w:jc w:val="left"/>
              <w:rPr>
                <w:color w:val="000000"/>
                <w:sz w:val="24"/>
                <w:szCs w:val="24"/>
                <w:lang w:val="kk-KZ" w:eastAsia="ja-JP"/>
              </w:rPr>
            </w:pPr>
            <w:r>
              <w:rPr>
                <w:color w:val="000000"/>
                <w:sz w:val="24"/>
                <w:szCs w:val="24"/>
                <w:lang w:val="kk-KZ" w:eastAsia="ja-JP"/>
              </w:rPr>
              <w:t>Қостанай мемлекеттік</w:t>
            </w:r>
          </w:p>
          <w:p w:rsidR="004D6B82" w:rsidRDefault="004D6B82">
            <w:pPr>
              <w:spacing w:line="276" w:lineRule="auto"/>
              <w:jc w:val="left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82" w:rsidRDefault="004D6B82">
            <w:pPr>
              <w:spacing w:line="276" w:lineRule="auto"/>
              <w:ind w:left="1027"/>
              <w:jc w:val="right"/>
              <w:rPr>
                <w:color w:val="000000"/>
                <w:sz w:val="24"/>
                <w:szCs w:val="24"/>
                <w:lang w:val="kk-KZ" w:eastAsia="ja-JP"/>
              </w:rPr>
            </w:pPr>
            <w:r>
              <w:rPr>
                <w:color w:val="000000"/>
                <w:sz w:val="24"/>
                <w:szCs w:val="24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4D6B82" w:rsidTr="004D6B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82" w:rsidRDefault="004D6B82">
            <w:pPr>
              <w:spacing w:after="120" w:line="276" w:lineRule="auto"/>
              <w:ind w:left="283"/>
              <w:jc w:val="center"/>
              <w:rPr>
                <w:b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B82" w:rsidRDefault="004D6B82">
            <w:pPr>
              <w:spacing w:after="120" w:line="276" w:lineRule="auto"/>
              <w:ind w:left="1027" w:firstLine="283"/>
              <w:jc w:val="center"/>
              <w:rPr>
                <w:b/>
                <w:color w:val="000000"/>
                <w:sz w:val="24"/>
                <w:szCs w:val="24"/>
                <w:lang w:eastAsia="ja-JP"/>
              </w:rPr>
            </w:pPr>
          </w:p>
        </w:tc>
      </w:tr>
      <w:tr w:rsidR="004D6B82" w:rsidTr="004D6B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82" w:rsidRDefault="004D6B82">
            <w:pPr>
              <w:spacing w:line="276" w:lineRule="auto"/>
              <w:jc w:val="lef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82" w:rsidRDefault="004D6B82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D6B82" w:rsidTr="004D6B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82" w:rsidRDefault="004D6B82">
            <w:pPr>
              <w:spacing w:line="276" w:lineRule="auto"/>
              <w:jc w:val="left"/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  <w:lang w:val="kk-KZ" w:eastAsia="ru-RU"/>
              </w:rPr>
              <w:t>ғылыми 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82" w:rsidRDefault="004D6B82">
            <w:pPr>
              <w:tabs>
                <w:tab w:val="left" w:pos="1027"/>
              </w:tabs>
              <w:spacing w:line="276" w:lineRule="auto"/>
              <w:jc w:val="right"/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  <w:lang w:val="kk-KZ" w:eastAsia="ru-RU"/>
              </w:rPr>
              <w:t>на заседание ученого совета</w:t>
            </w:r>
          </w:p>
        </w:tc>
      </w:tr>
      <w:tr w:rsidR="004D6B82" w:rsidTr="004D6B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82" w:rsidRDefault="004D6B82">
            <w:pPr>
              <w:spacing w:after="120" w:line="276" w:lineRule="auto"/>
              <w:ind w:left="283" w:hanging="283"/>
              <w:jc w:val="left"/>
              <w:rPr>
                <w:color w:val="000000"/>
                <w:sz w:val="24"/>
                <w:szCs w:val="24"/>
                <w:lang w:val="kk-KZ" w:eastAsia="ja-JP"/>
              </w:rPr>
            </w:pPr>
            <w:r>
              <w:rPr>
                <w:color w:val="000000"/>
                <w:sz w:val="24"/>
                <w:szCs w:val="24"/>
                <w:lang w:val="kk-KZ" w:eastAsia="ja-JP"/>
              </w:rPr>
              <w:t>27</w:t>
            </w:r>
            <w:r>
              <w:rPr>
                <w:color w:val="000000"/>
                <w:sz w:val="24"/>
                <w:szCs w:val="24"/>
                <w:lang w:eastAsia="ja-JP"/>
              </w:rPr>
              <w:t>.12.201</w:t>
            </w:r>
            <w:r>
              <w:rPr>
                <w:color w:val="000000"/>
                <w:sz w:val="24"/>
                <w:szCs w:val="24"/>
                <w:lang w:val="kk-KZ" w:eastAsia="ja-JP"/>
              </w:rPr>
              <w:t>9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82" w:rsidRDefault="004D6B82">
            <w:pPr>
              <w:spacing w:after="120" w:line="276" w:lineRule="auto"/>
              <w:ind w:left="283"/>
              <w:jc w:val="right"/>
              <w:rPr>
                <w:color w:val="000000"/>
                <w:sz w:val="24"/>
                <w:szCs w:val="24"/>
                <w:lang w:val="kk-KZ" w:eastAsia="ja-JP"/>
              </w:rPr>
            </w:pPr>
            <w:r>
              <w:rPr>
                <w:color w:val="000000"/>
                <w:sz w:val="24"/>
                <w:szCs w:val="24"/>
                <w:lang w:val="kk-KZ" w:eastAsia="ja-JP"/>
              </w:rPr>
              <w:t>27.12.2019 г.</w:t>
            </w:r>
          </w:p>
        </w:tc>
      </w:tr>
      <w:tr w:rsidR="004D6B82" w:rsidTr="004D6B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82" w:rsidRDefault="004D6B82">
            <w:pPr>
              <w:spacing w:line="276" w:lineRule="auto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B82" w:rsidRDefault="004D6B82">
            <w:pPr>
              <w:spacing w:after="120" w:line="276" w:lineRule="auto"/>
              <w:ind w:left="283"/>
              <w:jc w:val="right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val="kk-KZ" w:eastAsia="ja-JP"/>
              </w:rPr>
              <w:t>город Костанай</w:t>
            </w:r>
          </w:p>
        </w:tc>
      </w:tr>
    </w:tbl>
    <w:p w:rsidR="004D6B82" w:rsidRDefault="004D6B82" w:rsidP="004D6B82">
      <w:pPr>
        <w:rPr>
          <w:b/>
          <w:sz w:val="24"/>
          <w:szCs w:val="24"/>
        </w:rPr>
      </w:pPr>
    </w:p>
    <w:p w:rsidR="004D6B82" w:rsidRDefault="004D6B82" w:rsidP="004D6B82">
      <w:pPr>
        <w:ind w:firstLine="70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Студенттердің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академиялық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ұтқырлығын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қолдау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және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білі</w:t>
      </w:r>
      <w:proofErr w:type="gramStart"/>
      <w:r>
        <w:rPr>
          <w:b/>
          <w:sz w:val="24"/>
          <w:szCs w:val="24"/>
        </w:rPr>
        <w:t>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алу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үшін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сыртқы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гранттарды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алуға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ықпал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ету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шаралары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туралы</w:t>
      </w:r>
      <w:proofErr w:type="spellEnd"/>
    </w:p>
    <w:p w:rsidR="004D6B82" w:rsidRDefault="004D6B82" w:rsidP="004D6B82">
      <w:pPr>
        <w:ind w:firstLine="709"/>
        <w:rPr>
          <w:b/>
          <w:sz w:val="24"/>
          <w:szCs w:val="24"/>
        </w:rPr>
      </w:pPr>
    </w:p>
    <w:p w:rsidR="004D6B82" w:rsidRDefault="004D6B82" w:rsidP="004D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академиялық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ұтқырлығын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дамыту-жоғары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интернационалдандырудың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бағыттарының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бірі</w:t>
      </w:r>
      <w:proofErr w:type="spellEnd"/>
      <w:r>
        <w:rPr>
          <w:sz w:val="24"/>
          <w:szCs w:val="24"/>
        </w:rPr>
        <w:t xml:space="preserve">. </w:t>
      </w:r>
    </w:p>
    <w:p w:rsidR="004D6B82" w:rsidRDefault="004D6B82" w:rsidP="004D6B82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Академиялық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ұтқырлық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әрі</w:t>
      </w:r>
      <w:proofErr w:type="spellEnd"/>
      <w:proofErr w:type="gramStart"/>
      <w:r>
        <w:rPr>
          <w:sz w:val="24"/>
          <w:szCs w:val="24"/>
        </w:rPr>
        <w:t>)-</w:t>
      </w:r>
      <w:proofErr w:type="spellStart"/>
      <w:proofErr w:type="gramEnd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оқытушы-зерттеушілерді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белгілі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академиялық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кезеңге</w:t>
      </w:r>
      <w:proofErr w:type="spellEnd"/>
      <w:r>
        <w:rPr>
          <w:sz w:val="24"/>
          <w:szCs w:val="24"/>
        </w:rPr>
        <w:t xml:space="preserve">: семестр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жылына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жоғары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орнына</w:t>
      </w:r>
      <w:proofErr w:type="spellEnd"/>
      <w:r>
        <w:rPr>
          <w:sz w:val="24"/>
          <w:szCs w:val="24"/>
        </w:rPr>
        <w:t xml:space="preserve"> (ел </w:t>
      </w:r>
      <w:proofErr w:type="spellStart"/>
      <w:r>
        <w:rPr>
          <w:sz w:val="24"/>
          <w:szCs w:val="24"/>
        </w:rPr>
        <w:t>ішінде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шетелде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өзінің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жоғары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орнында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кредиттер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жоғары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орнында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жалғастыру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игерілген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бағдарламаларын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міндетті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түрде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қайта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тапсыра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ауыстыру</w:t>
      </w:r>
      <w:proofErr w:type="spellEnd"/>
      <w:r>
        <w:rPr>
          <w:sz w:val="24"/>
          <w:szCs w:val="24"/>
        </w:rPr>
        <w:t xml:space="preserve">. </w:t>
      </w:r>
    </w:p>
    <w:p w:rsidR="004D6B82" w:rsidRDefault="004D6B82" w:rsidP="004D6B82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Ішкі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сыртқы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академиялық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ұтқырлық</w:t>
      </w:r>
      <w:proofErr w:type="spellEnd"/>
      <w:r>
        <w:rPr>
          <w:sz w:val="24"/>
          <w:szCs w:val="24"/>
        </w:rPr>
        <w:t xml:space="preserve"> бар. </w:t>
      </w:r>
      <w:proofErr w:type="spellStart"/>
      <w:r>
        <w:rPr>
          <w:sz w:val="24"/>
          <w:szCs w:val="24"/>
        </w:rPr>
        <w:t>Халықаралық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байланыстар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бө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імі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қолдауды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қамтамасыз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етеді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сыртқы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академиялық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ұтқырлық</w:t>
      </w:r>
      <w:proofErr w:type="spellEnd"/>
      <w:r>
        <w:rPr>
          <w:sz w:val="24"/>
          <w:szCs w:val="24"/>
        </w:rPr>
        <w:t>.</w:t>
      </w:r>
    </w:p>
    <w:p w:rsidR="004D6B82" w:rsidRDefault="004D6B82" w:rsidP="004D6B82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Академиялық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ұтқырлық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келесі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құжаттармен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реттеледі</w:t>
      </w:r>
      <w:proofErr w:type="spellEnd"/>
      <w:r>
        <w:rPr>
          <w:sz w:val="24"/>
          <w:szCs w:val="24"/>
        </w:rPr>
        <w:t>:</w:t>
      </w:r>
    </w:p>
    <w:p w:rsidR="004D6B82" w:rsidRDefault="004D6B82" w:rsidP="004D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Қазақстан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Республикасы</w:t>
      </w:r>
      <w:proofErr w:type="spellEnd"/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ғылым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министрлігінің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академиялық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ұтқырлығын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ұйымдастыру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" 21.06.2011 ж. № 03-3/1047 </w:t>
      </w:r>
      <w:proofErr w:type="spellStart"/>
      <w:r>
        <w:rPr>
          <w:sz w:val="24"/>
          <w:szCs w:val="24"/>
        </w:rPr>
        <w:t>нұсқамалық</w:t>
      </w:r>
      <w:proofErr w:type="spellEnd"/>
      <w:r>
        <w:rPr>
          <w:sz w:val="24"/>
          <w:szCs w:val="24"/>
        </w:rPr>
        <w:t xml:space="preserve"> хаты (</w:t>
      </w:r>
      <w:proofErr w:type="spellStart"/>
      <w:r>
        <w:rPr>
          <w:sz w:val="24"/>
          <w:szCs w:val="24"/>
        </w:rPr>
        <w:t>өзгерістермен</w:t>
      </w:r>
      <w:proofErr w:type="spellEnd"/>
      <w:r>
        <w:rPr>
          <w:sz w:val="24"/>
          <w:szCs w:val="24"/>
        </w:rPr>
        <w:t>);</w:t>
      </w:r>
    </w:p>
    <w:p w:rsidR="004D6B82" w:rsidRDefault="004D6B82" w:rsidP="004D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"</w:t>
      </w:r>
      <w:proofErr w:type="spellStart"/>
      <w:r>
        <w:rPr>
          <w:sz w:val="24"/>
          <w:szCs w:val="24"/>
        </w:rPr>
        <w:t>Шетелде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ішінде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академиялық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ұтқырлық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шеңберінде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жіберу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Ережесін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бекіту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туралы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Қазақстан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Республикасы</w:t>
      </w:r>
      <w:proofErr w:type="spellEnd"/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ғылым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министрінің</w:t>
      </w:r>
      <w:proofErr w:type="spellEnd"/>
      <w:r>
        <w:rPr>
          <w:sz w:val="24"/>
          <w:szCs w:val="24"/>
        </w:rPr>
        <w:t xml:space="preserve"> 2008 </w:t>
      </w:r>
      <w:proofErr w:type="spellStart"/>
      <w:r>
        <w:rPr>
          <w:sz w:val="24"/>
          <w:szCs w:val="24"/>
        </w:rPr>
        <w:t>жылғы</w:t>
      </w:r>
      <w:proofErr w:type="spellEnd"/>
      <w:r>
        <w:rPr>
          <w:sz w:val="24"/>
          <w:szCs w:val="24"/>
        </w:rPr>
        <w:t xml:space="preserve"> 19 </w:t>
      </w:r>
      <w:proofErr w:type="spellStart"/>
      <w:r>
        <w:rPr>
          <w:sz w:val="24"/>
          <w:szCs w:val="24"/>
        </w:rPr>
        <w:t>қарашадағы</w:t>
      </w:r>
      <w:proofErr w:type="spellEnd"/>
      <w:r>
        <w:rPr>
          <w:sz w:val="24"/>
          <w:szCs w:val="24"/>
        </w:rPr>
        <w:t xml:space="preserve"> № 613 </w:t>
      </w:r>
      <w:proofErr w:type="spellStart"/>
      <w:r>
        <w:rPr>
          <w:sz w:val="24"/>
          <w:szCs w:val="24"/>
        </w:rPr>
        <w:t>бұйрығы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Қазақстан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Республикасы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ғылым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министрінің</w:t>
      </w:r>
      <w:proofErr w:type="spellEnd"/>
      <w:r>
        <w:rPr>
          <w:sz w:val="24"/>
          <w:szCs w:val="24"/>
        </w:rPr>
        <w:t xml:space="preserve"> 2010 </w:t>
      </w:r>
      <w:proofErr w:type="spellStart"/>
      <w:r>
        <w:rPr>
          <w:sz w:val="24"/>
          <w:szCs w:val="24"/>
        </w:rPr>
        <w:t>жылғы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қаңтардағы</w:t>
      </w:r>
      <w:proofErr w:type="spellEnd"/>
      <w:r>
        <w:rPr>
          <w:sz w:val="24"/>
          <w:szCs w:val="24"/>
        </w:rPr>
        <w:t xml:space="preserve"> №1</w:t>
      </w:r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ұйрығы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Қазақстан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Республикасының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Әділет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министрлігінде</w:t>
      </w:r>
      <w:proofErr w:type="spellEnd"/>
      <w:r>
        <w:rPr>
          <w:sz w:val="24"/>
          <w:szCs w:val="24"/>
        </w:rPr>
        <w:t xml:space="preserve"> 2018 </w:t>
      </w:r>
      <w:proofErr w:type="spellStart"/>
      <w:r>
        <w:rPr>
          <w:sz w:val="24"/>
          <w:szCs w:val="24"/>
        </w:rPr>
        <w:t>жылғы</w:t>
      </w:r>
      <w:proofErr w:type="spellEnd"/>
      <w:r>
        <w:rPr>
          <w:sz w:val="24"/>
          <w:szCs w:val="24"/>
        </w:rPr>
        <w:t xml:space="preserve"> 9 </w:t>
      </w:r>
      <w:proofErr w:type="spellStart"/>
      <w:r>
        <w:rPr>
          <w:sz w:val="24"/>
          <w:szCs w:val="24"/>
        </w:rPr>
        <w:t>қаңтарда</w:t>
      </w:r>
      <w:proofErr w:type="spellEnd"/>
      <w:r>
        <w:rPr>
          <w:sz w:val="24"/>
          <w:szCs w:val="24"/>
        </w:rPr>
        <w:t xml:space="preserve"> №16911 </w:t>
      </w:r>
      <w:proofErr w:type="spellStart"/>
      <w:r>
        <w:rPr>
          <w:sz w:val="24"/>
          <w:szCs w:val="24"/>
        </w:rPr>
        <w:t>болып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тіркелді</w:t>
      </w:r>
      <w:proofErr w:type="spellEnd"/>
      <w:r>
        <w:rPr>
          <w:sz w:val="24"/>
          <w:szCs w:val="24"/>
        </w:rPr>
        <w:t>);</w:t>
      </w:r>
    </w:p>
    <w:p w:rsidR="004D6B82" w:rsidRDefault="004D6B82" w:rsidP="004D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125-2019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академиялық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ұтқырлығы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Байтұрсынов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атындағы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ережесі21.10.2019</w:t>
      </w:r>
      <w:proofErr w:type="spellEnd"/>
      <w:r>
        <w:rPr>
          <w:sz w:val="24"/>
          <w:szCs w:val="24"/>
        </w:rPr>
        <w:t>).</w:t>
      </w:r>
      <w:proofErr w:type="gramEnd"/>
    </w:p>
    <w:p w:rsidR="004D6B82" w:rsidRDefault="004D6B82" w:rsidP="004D6B82">
      <w:pPr>
        <w:ind w:firstLine="709"/>
        <w:rPr>
          <w:sz w:val="24"/>
          <w:szCs w:val="24"/>
        </w:rPr>
      </w:pPr>
    </w:p>
    <w:p w:rsidR="004D6B82" w:rsidRDefault="004D6B82" w:rsidP="004D6B82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Бі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сыртқы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академиялық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ұтқырлығы</w:t>
      </w:r>
      <w:proofErr w:type="spellEnd"/>
      <w:r>
        <w:rPr>
          <w:sz w:val="24"/>
          <w:szCs w:val="24"/>
        </w:rPr>
        <w:t xml:space="preserve"> 2011 </w:t>
      </w:r>
      <w:proofErr w:type="spellStart"/>
      <w:r>
        <w:rPr>
          <w:sz w:val="24"/>
          <w:szCs w:val="24"/>
        </w:rPr>
        <w:t>жылдан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бастап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жүзеге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асырылады</w:t>
      </w:r>
      <w:proofErr w:type="spellEnd"/>
      <w:r>
        <w:rPr>
          <w:sz w:val="24"/>
          <w:szCs w:val="24"/>
        </w:rPr>
        <w:t>.</w:t>
      </w:r>
    </w:p>
    <w:p w:rsidR="004D6B82" w:rsidRDefault="004D6B82" w:rsidP="004D6B82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51855" cy="1329055"/>
            <wp:effectExtent l="0" t="0" r="10795" b="234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6B82" w:rsidRDefault="004D6B82" w:rsidP="004D6B82">
      <w:pPr>
        <w:ind w:firstLine="709"/>
        <w:rPr>
          <w:sz w:val="24"/>
          <w:szCs w:val="24"/>
        </w:rPr>
      </w:pPr>
      <w:r>
        <w:rPr>
          <w:sz w:val="24"/>
          <w:szCs w:val="24"/>
        </w:rPr>
        <w:t>1-</w:t>
      </w:r>
      <w:proofErr w:type="spellStart"/>
      <w:r>
        <w:rPr>
          <w:sz w:val="24"/>
          <w:szCs w:val="24"/>
        </w:rPr>
        <w:t>сурет</w:t>
      </w:r>
      <w:proofErr w:type="spellEnd"/>
      <w:r>
        <w:rPr>
          <w:sz w:val="24"/>
          <w:szCs w:val="24"/>
        </w:rPr>
        <w:t xml:space="preserve">. 2011 </w:t>
      </w:r>
      <w:proofErr w:type="spellStart"/>
      <w:r>
        <w:rPr>
          <w:sz w:val="24"/>
          <w:szCs w:val="24"/>
        </w:rPr>
        <w:t>жылдан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бастап</w:t>
      </w:r>
      <w:proofErr w:type="spellEnd"/>
      <w:r>
        <w:rPr>
          <w:sz w:val="24"/>
          <w:szCs w:val="24"/>
        </w:rPr>
        <w:t xml:space="preserve"> 2019 </w:t>
      </w:r>
      <w:proofErr w:type="spellStart"/>
      <w:proofErr w:type="gramStart"/>
      <w:r>
        <w:rPr>
          <w:sz w:val="24"/>
          <w:szCs w:val="24"/>
        </w:rPr>
        <w:t>жыл</w:t>
      </w:r>
      <w:proofErr w:type="gramEnd"/>
      <w:r>
        <w:rPr>
          <w:sz w:val="24"/>
          <w:szCs w:val="24"/>
        </w:rPr>
        <w:t>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қаржыландыру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тәсілі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мобилділік</w:t>
      </w:r>
      <w:proofErr w:type="spellEnd"/>
      <w:r>
        <w:rPr>
          <w:sz w:val="24"/>
          <w:szCs w:val="24"/>
        </w:rPr>
        <w:t xml:space="preserve"> саны</w:t>
      </w:r>
    </w:p>
    <w:p w:rsidR="004D6B82" w:rsidRDefault="004D6B82" w:rsidP="004D6B82">
      <w:pPr>
        <w:rPr>
          <w:b/>
          <w:sz w:val="24"/>
          <w:szCs w:val="24"/>
        </w:rPr>
      </w:pPr>
    </w:p>
    <w:p w:rsidR="004D6B82" w:rsidRDefault="004D6B82" w:rsidP="004D6B82">
      <w:pPr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Университеттің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барлығы</w:t>
      </w:r>
      <w:proofErr w:type="spellEnd"/>
      <w:r>
        <w:rPr>
          <w:sz w:val="24"/>
          <w:szCs w:val="24"/>
        </w:rPr>
        <w:t xml:space="preserve"> 180 </w:t>
      </w:r>
      <w:proofErr w:type="spellStart"/>
      <w:r>
        <w:rPr>
          <w:sz w:val="24"/>
          <w:szCs w:val="24"/>
        </w:rPr>
        <w:t>студенті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магистранттары</w:t>
      </w:r>
      <w:proofErr w:type="spellEnd"/>
      <w:r>
        <w:rPr>
          <w:sz w:val="24"/>
          <w:szCs w:val="24"/>
        </w:rPr>
        <w:t xml:space="preserve"> 2011 </w:t>
      </w:r>
      <w:proofErr w:type="spellStart"/>
      <w:r>
        <w:rPr>
          <w:sz w:val="24"/>
          <w:szCs w:val="24"/>
        </w:rPr>
        <w:t>жылдың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қыркүйек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айынан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бастап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  <w:lang w:val="kk-KZ"/>
        </w:rPr>
        <w:t>Ұ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қатысушылары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болды</w:t>
      </w:r>
      <w:proofErr w:type="spellEnd"/>
      <w:r>
        <w:rPr>
          <w:sz w:val="24"/>
          <w:szCs w:val="24"/>
        </w:rPr>
        <w:t xml:space="preserve">. Орта </w:t>
      </w:r>
      <w:proofErr w:type="spellStart"/>
      <w:r>
        <w:rPr>
          <w:sz w:val="24"/>
          <w:szCs w:val="24"/>
        </w:rPr>
        <w:t>есеппен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</w:t>
      </w:r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ішінде</w:t>
      </w:r>
      <w:proofErr w:type="spellEnd"/>
      <w:r>
        <w:rPr>
          <w:sz w:val="24"/>
          <w:szCs w:val="24"/>
        </w:rPr>
        <w:t xml:space="preserve"> 22 студент </w:t>
      </w:r>
      <w:proofErr w:type="spellStart"/>
      <w:r>
        <w:rPr>
          <w:sz w:val="24"/>
          <w:szCs w:val="24"/>
        </w:rPr>
        <w:t>шетелде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оқиды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бөлігі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БҒМ</w:t>
      </w:r>
      <w:proofErr w:type="spellEnd"/>
      <w:r>
        <w:rPr>
          <w:sz w:val="24"/>
          <w:szCs w:val="24"/>
        </w:rPr>
        <w:t xml:space="preserve"> А</w:t>
      </w:r>
      <w:r>
        <w:rPr>
          <w:sz w:val="24"/>
          <w:szCs w:val="24"/>
          <w:lang w:val="kk-KZ"/>
        </w:rPr>
        <w:t xml:space="preserve">Ұ </w:t>
      </w:r>
      <w:proofErr w:type="spellStart"/>
      <w:r>
        <w:rPr>
          <w:sz w:val="24"/>
          <w:szCs w:val="24"/>
        </w:rPr>
        <w:t>бағдарламасы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есебінен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Еуропаның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жоғары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орындарына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кетеді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бұл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жағдай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  <w:lang w:val="kk-KZ"/>
        </w:rPr>
        <w:t>Ұ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ұйымының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сақталады</w:t>
      </w:r>
      <w:proofErr w:type="spellEnd"/>
      <w:r>
        <w:rPr>
          <w:sz w:val="24"/>
          <w:szCs w:val="24"/>
        </w:rPr>
        <w:t>.</w:t>
      </w:r>
    </w:p>
    <w:p w:rsidR="004D6B82" w:rsidRDefault="004D6B82" w:rsidP="004D6B82">
      <w:pPr>
        <w:ind w:firstLine="709"/>
        <w:rPr>
          <w:sz w:val="24"/>
          <w:szCs w:val="24"/>
        </w:rPr>
      </w:pPr>
    </w:p>
    <w:p w:rsidR="004D6B82" w:rsidRDefault="004D6B82" w:rsidP="004D6B82">
      <w:pPr>
        <w:rPr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51855" cy="1024255"/>
            <wp:effectExtent l="0" t="0" r="10795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6B82" w:rsidRDefault="004D6B82" w:rsidP="004D6B8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2-сурет. 2018-2019 оқу жылында қаржыландыру тәсілі бойынша мобильділік саны</w:t>
      </w:r>
    </w:p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4D6B82" w:rsidRDefault="004D6B82" w:rsidP="004D6B82">
      <w:pPr>
        <w:ind w:firstLine="70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Келтірілген деректер білім алушылардың академиялық ұтқырлығын сыртқы қаржыландыруды тарту қажеттілігін көрсетеді.</w:t>
      </w:r>
    </w:p>
    <w:p w:rsidR="004D6B82" w:rsidRDefault="004D6B82" w:rsidP="004D6B82">
      <w:pPr>
        <w:rPr>
          <w:sz w:val="24"/>
          <w:szCs w:val="24"/>
          <w:lang w:val="kk-KZ"/>
        </w:rPr>
      </w:pPr>
    </w:p>
    <w:p w:rsidR="004D6B82" w:rsidRDefault="004D6B82" w:rsidP="004D6B8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АҰ сыртқы гранттарының негізгі көздері:</w:t>
      </w:r>
    </w:p>
    <w:p w:rsidR="004D6B82" w:rsidRDefault="004D6B82" w:rsidP="004D6B82">
      <w:pPr>
        <w:pStyle w:val="a4"/>
        <w:numPr>
          <w:ilvl w:val="0"/>
          <w:numId w:val="1"/>
        </w:numPr>
        <w:rPr>
          <w:lang w:val="kk-KZ"/>
        </w:rPr>
      </w:pPr>
      <w:r>
        <w:rPr>
          <w:lang w:val="kk-KZ"/>
        </w:rPr>
        <w:t>Эразмус+бағдарламасының халықаралық кредиттік мобильділік жобалары шеңберіндегі серіктестік;</w:t>
      </w:r>
    </w:p>
    <w:p w:rsidR="004D6B82" w:rsidRDefault="004D6B82" w:rsidP="004D6B82">
      <w:pPr>
        <w:pStyle w:val="a4"/>
        <w:numPr>
          <w:ilvl w:val="0"/>
          <w:numId w:val="1"/>
        </w:numPr>
        <w:rPr>
          <w:lang w:val="kk-KZ"/>
        </w:rPr>
      </w:pPr>
      <w:r>
        <w:rPr>
          <w:lang w:val="kk-KZ"/>
        </w:rPr>
        <w:t>ЖОО-мен оқу ақысын төлемей оқуға қабылдау туралы екі жақты келісімдер;</w:t>
      </w:r>
    </w:p>
    <w:p w:rsidR="004D6B82" w:rsidRDefault="004D6B82" w:rsidP="004D6B82">
      <w:pPr>
        <w:pStyle w:val="a4"/>
        <w:numPr>
          <w:ilvl w:val="0"/>
          <w:numId w:val="1"/>
        </w:numPr>
        <w:rPr>
          <w:lang w:val="kk-KZ"/>
        </w:rPr>
      </w:pPr>
      <w:r>
        <w:rPr>
          <w:lang w:val="kk-KZ"/>
        </w:rPr>
        <w:t>UGRAD бағдарламасы (АҚШ Мемлекеттік департаментінің білім беру және мәдени бағдарламалар Бюросының бағдарламасы).</w:t>
      </w:r>
    </w:p>
    <w:p w:rsidR="004D6B82" w:rsidRDefault="004D6B82" w:rsidP="004D6B82">
      <w:pPr>
        <w:rPr>
          <w:lang w:val="kk-KZ"/>
        </w:rPr>
      </w:pPr>
      <w:r>
        <w:rPr>
          <w:lang w:val="kk-KZ"/>
        </w:rPr>
        <w:t>Эразмус+бағдарламасының халықаралық кредиттік ұтқырлық бойынша екі жақты әріптестік келісімдер: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69"/>
        <w:gridCol w:w="1369"/>
        <w:gridCol w:w="1029"/>
        <w:gridCol w:w="1204"/>
      </w:tblGrid>
      <w:tr w:rsidR="004D6B82" w:rsidTr="004D6B82">
        <w:trPr>
          <w:trHeight w:val="330"/>
        </w:trPr>
        <w:tc>
          <w:tcPr>
            <w:tcW w:w="5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Серіктес-ЖОО атауы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Мобильділік саны</w:t>
            </w:r>
          </w:p>
        </w:tc>
      </w:tr>
      <w:tr w:rsidR="004D6B82" w:rsidTr="004D6B82">
        <w:trPr>
          <w:trHeight w:val="180"/>
        </w:trPr>
        <w:tc>
          <w:tcPr>
            <w:tcW w:w="5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82" w:rsidRDefault="004D6B82">
            <w:pPr>
              <w:jc w:val="left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6B82" w:rsidRDefault="004D6B8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Шығыс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Кіріс</w:t>
            </w:r>
          </w:p>
        </w:tc>
      </w:tr>
      <w:tr w:rsidR="004D6B82" w:rsidTr="004D6B82">
        <w:trPr>
          <w:trHeight w:val="180"/>
        </w:trPr>
        <w:tc>
          <w:tcPr>
            <w:tcW w:w="5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82" w:rsidRDefault="004D6B82">
            <w:pPr>
              <w:jc w:val="left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6B82" w:rsidRDefault="004D6B82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6B82" w:rsidRDefault="004D6B82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kk-KZ"/>
              </w:rPr>
              <w:t>ОҚ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</w:p>
        </w:tc>
      </w:tr>
      <w:tr w:rsidR="004D6B82" w:rsidTr="004D6B82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Ондокуз</w:t>
            </w:r>
            <w:proofErr w:type="spellEnd"/>
            <w:r>
              <w:rPr>
                <w:sz w:val="24"/>
                <w:szCs w:val="24"/>
              </w:rPr>
              <w:t xml:space="preserve"> Маис </w:t>
            </w:r>
            <w:proofErr w:type="spellStart"/>
            <w:r>
              <w:rPr>
                <w:sz w:val="24"/>
                <w:szCs w:val="24"/>
              </w:rPr>
              <w:t>Университеті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Түркия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6B82" w:rsidTr="004D6B82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2.Острава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университетінің</w:t>
            </w:r>
            <w:proofErr w:type="spellEnd"/>
            <w:r>
              <w:rPr>
                <w:sz w:val="24"/>
                <w:szCs w:val="24"/>
              </w:rPr>
              <w:t xml:space="preserve"> философия </w:t>
            </w:r>
            <w:proofErr w:type="spellStart"/>
            <w:r>
              <w:rPr>
                <w:sz w:val="24"/>
                <w:szCs w:val="24"/>
              </w:rPr>
              <w:t>факультеті</w:t>
            </w:r>
            <w:proofErr w:type="spellEnd"/>
            <w:r>
              <w:rPr>
                <w:sz w:val="24"/>
                <w:szCs w:val="24"/>
              </w:rPr>
              <w:t>, Чехия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6B82" w:rsidTr="004D6B82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3. Гранада </w:t>
            </w:r>
            <w:proofErr w:type="spellStart"/>
            <w:r>
              <w:rPr>
                <w:sz w:val="24"/>
                <w:szCs w:val="24"/>
              </w:rPr>
              <w:t>Университеті</w:t>
            </w:r>
            <w:proofErr w:type="spellEnd"/>
            <w:r>
              <w:rPr>
                <w:sz w:val="24"/>
                <w:szCs w:val="24"/>
              </w:rPr>
              <w:t>, Испания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D6B82" w:rsidTr="004D6B82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Батыс</w:t>
            </w:r>
            <w:proofErr w:type="spellEnd"/>
            <w:r>
              <w:rPr>
                <w:sz w:val="24"/>
                <w:szCs w:val="24"/>
              </w:rPr>
              <w:t xml:space="preserve"> Аттика </w:t>
            </w:r>
            <w:proofErr w:type="spellStart"/>
            <w:r>
              <w:rPr>
                <w:sz w:val="24"/>
                <w:szCs w:val="24"/>
              </w:rPr>
              <w:t>Университеті</w:t>
            </w:r>
            <w:proofErr w:type="spellEnd"/>
            <w:r>
              <w:rPr>
                <w:sz w:val="24"/>
                <w:szCs w:val="24"/>
              </w:rPr>
              <w:t>, Греция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6B82" w:rsidTr="004D6B82"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Ауыл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шаруашылығы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ғылымдары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ветеринарлық</w:t>
            </w:r>
            <w:proofErr w:type="spellEnd"/>
            <w:r>
              <w:rPr>
                <w:sz w:val="24"/>
                <w:szCs w:val="24"/>
              </w:rPr>
              <w:t xml:space="preserve"> медицина </w:t>
            </w:r>
            <w:proofErr w:type="spellStart"/>
            <w:r>
              <w:rPr>
                <w:sz w:val="24"/>
                <w:szCs w:val="24"/>
              </w:rPr>
              <w:t>университеті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Клуж-Напоки</w:t>
            </w:r>
            <w:proofErr w:type="spellEnd"/>
            <w:r>
              <w:rPr>
                <w:sz w:val="24"/>
                <w:szCs w:val="24"/>
              </w:rPr>
              <w:t>, Румыния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82" w:rsidRDefault="004D6B8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4D6B82" w:rsidRDefault="004D6B82" w:rsidP="004D6B82">
      <w:pPr>
        <w:ind w:firstLine="70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Қолданыстағы шаралар бойынша қолдау көрсету академиялық ұтқырлық және алуға көмектесу сыртқы гранттардың оқыту үшін:</w:t>
      </w:r>
    </w:p>
    <w:p w:rsidR="004D6B82" w:rsidRDefault="004D6B82" w:rsidP="004D6B82">
      <w:pPr>
        <w:rPr>
          <w:sz w:val="24"/>
          <w:szCs w:val="24"/>
          <w:lang w:val="kk-KZ"/>
        </w:rPr>
      </w:pPr>
    </w:p>
    <w:p w:rsidR="004D6B82" w:rsidRDefault="004D6B82" w:rsidP="004D6B82">
      <w:pPr>
        <w:pStyle w:val="a4"/>
        <w:numPr>
          <w:ilvl w:val="0"/>
          <w:numId w:val="2"/>
        </w:numPr>
        <w:rPr>
          <w:lang w:val="kk-KZ"/>
        </w:rPr>
      </w:pPr>
      <w:r>
        <w:rPr>
          <w:lang w:val="kk-KZ"/>
        </w:rPr>
        <w:t xml:space="preserve">академиялық ұтқырлықты көздейтін екіжақты келісімдерге қол қою үшін шетелдік серіктес ЖОО-мен өзара іс-қимыл ;жылжыту мүмкіндіктерін АҰ арқылы </w:t>
      </w:r>
    </w:p>
    <w:p w:rsidR="004D6B82" w:rsidRDefault="004D6B82" w:rsidP="004D6B82">
      <w:pPr>
        <w:ind w:left="993"/>
        <w:rPr>
          <w:sz w:val="24"/>
          <w:szCs w:val="24"/>
          <w:lang w:val="kk-KZ"/>
        </w:rPr>
      </w:pPr>
    </w:p>
    <w:p w:rsidR="004D6B82" w:rsidRDefault="004D6B82" w:rsidP="004D6B82">
      <w:pPr>
        <w:pStyle w:val="a4"/>
        <w:numPr>
          <w:ilvl w:val="0"/>
          <w:numId w:val="3"/>
        </w:numPr>
        <w:ind w:left="993"/>
        <w:rPr>
          <w:lang w:val="kk-KZ"/>
        </w:rPr>
      </w:pPr>
      <w:r>
        <w:rPr>
          <w:lang w:val="kk-KZ"/>
        </w:rPr>
        <w:t xml:space="preserve">университет порталындағы хабарландыру, </w:t>
      </w:r>
    </w:p>
    <w:p w:rsidR="004D6B82" w:rsidRDefault="004D6B82" w:rsidP="004D6B82">
      <w:pPr>
        <w:pStyle w:val="a4"/>
        <w:numPr>
          <w:ilvl w:val="0"/>
          <w:numId w:val="3"/>
        </w:numPr>
        <w:ind w:left="993"/>
        <w:rPr>
          <w:lang w:val="kk-KZ"/>
        </w:rPr>
      </w:pPr>
      <w:r>
        <w:rPr>
          <w:lang w:val="kk-KZ"/>
        </w:rPr>
        <w:t xml:space="preserve">outlook тарату; </w:t>
      </w:r>
    </w:p>
    <w:p w:rsidR="004D6B82" w:rsidRDefault="004D6B82" w:rsidP="004D6B82">
      <w:pPr>
        <w:pStyle w:val="a4"/>
        <w:numPr>
          <w:ilvl w:val="0"/>
          <w:numId w:val="3"/>
        </w:numPr>
        <w:ind w:left="993"/>
        <w:rPr>
          <w:lang w:val="kk-KZ"/>
        </w:rPr>
      </w:pPr>
      <w:r>
        <w:rPr>
          <w:lang w:val="kk-KZ"/>
        </w:rPr>
        <w:t xml:space="preserve">Facebook Instagram @ksu_international, Facebook @ksuinternational https://www.facebook.com/groups/485574678837003/about/; </w:t>
      </w:r>
    </w:p>
    <w:p w:rsidR="004D6B82" w:rsidRDefault="004D6B82" w:rsidP="004D6B82">
      <w:pPr>
        <w:pStyle w:val="a4"/>
        <w:numPr>
          <w:ilvl w:val="0"/>
          <w:numId w:val="3"/>
        </w:numPr>
        <w:ind w:left="993"/>
        <w:rPr>
          <w:lang w:val="kk-KZ"/>
        </w:rPr>
      </w:pPr>
      <w:r>
        <w:rPr>
          <w:lang w:val="kk-KZ"/>
        </w:rPr>
        <w:t xml:space="preserve">кафедралардағы интернационализация үшін жауаптылар; </w:t>
      </w:r>
    </w:p>
    <w:p w:rsidR="004D6B82" w:rsidRDefault="004D6B82" w:rsidP="004D6B82">
      <w:pPr>
        <w:pStyle w:val="a4"/>
        <w:numPr>
          <w:ilvl w:val="0"/>
          <w:numId w:val="3"/>
        </w:numPr>
        <w:ind w:left="993"/>
        <w:rPr>
          <w:lang w:val="kk-KZ"/>
        </w:rPr>
      </w:pPr>
      <w:r>
        <w:rPr>
          <w:lang w:val="kk-KZ"/>
        </w:rPr>
        <w:t>шетелдік серіктестермен немесе шетелдік ұйымдардың өкілдерімен кездесулер ұйымдастыру;</w:t>
      </w:r>
    </w:p>
    <w:p w:rsidR="004D6B82" w:rsidRDefault="004D6B82" w:rsidP="004D6B82">
      <w:pPr>
        <w:pStyle w:val="a4"/>
        <w:numPr>
          <w:ilvl w:val="0"/>
          <w:numId w:val="4"/>
        </w:numPr>
        <w:rPr>
          <w:lang w:val="kk-KZ"/>
        </w:rPr>
      </w:pPr>
      <w:r>
        <w:rPr>
          <w:lang w:val="kk-KZ"/>
        </w:rPr>
        <w:t>рейтинг жүйесі арқылы АҰ ынталандыру.</w:t>
      </w:r>
    </w:p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4D6B82" w:rsidRDefault="004D6B82" w:rsidP="004D6B82">
      <w:pPr>
        <w:ind w:firstLine="70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Қиындықтар қолдау бойынша академиялық ұтқырлық және алуға көмектесу сыртқы гранттардың оқыту үшін:</w:t>
      </w:r>
    </w:p>
    <w:p w:rsidR="004D6B82" w:rsidRDefault="004D6B82" w:rsidP="004D6B8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- білім алушылар мен ПОҚ-ның шет тілді коммуникативтік құзыреттілігі мен деңгейінің жеткіліксіздігі;</w:t>
      </w:r>
    </w:p>
    <w:p w:rsidR="004D6B82" w:rsidRDefault="004D6B82" w:rsidP="004D6B8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ағылшын тілінде оқытатын бағдарламалардың болмауы;</w:t>
      </w:r>
    </w:p>
    <w:p w:rsidR="004D6B82" w:rsidRDefault="004D6B82" w:rsidP="004D6B8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ағылшын тілінде оқытылатын пәндер каталогына онлайн қолжетімділіктің болмауы;</w:t>
      </w:r>
    </w:p>
    <w:p w:rsidR="004D6B82" w:rsidRDefault="004D6B82" w:rsidP="004D6B8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Эразмус+халықаралық кредиттік мобильділік жобалары шеңберінде жұмыс бойынша халықаралық байланыстар бөлімі қызметкерлерінің шектеулі тәжірибесі.</w:t>
      </w:r>
    </w:p>
    <w:p w:rsidR="004D6B82" w:rsidRDefault="004D6B82" w:rsidP="004D6B82">
      <w:pPr>
        <w:rPr>
          <w:sz w:val="24"/>
          <w:szCs w:val="24"/>
          <w:lang w:val="kk-KZ"/>
        </w:rPr>
      </w:pPr>
    </w:p>
    <w:p w:rsidR="004D6B82" w:rsidRDefault="004D6B82" w:rsidP="004D6B82">
      <w:pPr>
        <w:ind w:firstLine="709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Ұсынылып отырған шараларды қолдау бойынша академиялық ұтқырлық және алуға көмектесу сыртқы гранттардың оқыту үшін:</w:t>
      </w:r>
    </w:p>
    <w:p w:rsidR="004D6B82" w:rsidRDefault="004D6B82" w:rsidP="004D6B82">
      <w:pPr>
        <w:pStyle w:val="a4"/>
        <w:numPr>
          <w:ilvl w:val="0"/>
          <w:numId w:val="5"/>
        </w:numPr>
        <w:rPr>
          <w:lang w:val="kk-KZ"/>
        </w:rPr>
      </w:pPr>
      <w:r>
        <w:rPr>
          <w:lang w:val="kk-KZ"/>
        </w:rPr>
        <w:t>Эразмус+бағдарламасының халықаралық кредиттік ұтқырлық жобаларына қатысу үшін өтінім беру үшін ЕО жоғары оқу орындарымен өзара іс-қимыл;</w:t>
      </w:r>
    </w:p>
    <w:p w:rsidR="004D6B82" w:rsidRDefault="004D6B82" w:rsidP="004D6B82">
      <w:pPr>
        <w:pStyle w:val="a4"/>
        <w:numPr>
          <w:ilvl w:val="0"/>
          <w:numId w:val="5"/>
        </w:numPr>
        <w:rPr>
          <w:lang w:val="kk-KZ"/>
        </w:rPr>
      </w:pPr>
      <w:r>
        <w:rPr>
          <w:lang w:val="kk-KZ"/>
        </w:rPr>
        <w:t>білім алушылар мен ПОҚ-ның шет тілді коммуникативтік құзыреттілігінің деңгейін арттыру;</w:t>
      </w:r>
    </w:p>
    <w:p w:rsidR="004D6B82" w:rsidRDefault="004D6B82" w:rsidP="004D6B82">
      <w:pPr>
        <w:pStyle w:val="a4"/>
        <w:numPr>
          <w:ilvl w:val="0"/>
          <w:numId w:val="5"/>
        </w:numPr>
        <w:rPr>
          <w:lang w:val="kk-KZ"/>
        </w:rPr>
      </w:pPr>
      <w:r>
        <w:rPr>
          <w:lang w:val="kk-KZ"/>
        </w:rPr>
        <w:t>оқыту өткізу ХҚБ аясындағы жұмыс;</w:t>
      </w:r>
    </w:p>
    <w:p w:rsidR="004D6B82" w:rsidRDefault="004D6B82" w:rsidP="004D6B82">
      <w:pPr>
        <w:pStyle w:val="a4"/>
        <w:numPr>
          <w:ilvl w:val="0"/>
          <w:numId w:val="5"/>
        </w:numPr>
        <w:rPr>
          <w:lang w:val="kk-KZ"/>
        </w:rPr>
      </w:pPr>
      <w:r>
        <w:rPr>
          <w:lang w:val="kk-KZ"/>
        </w:rPr>
        <w:t>университет сайтына ағылшын тілінде оқытылатын пәндер каталогын орналастыру;</w:t>
      </w:r>
    </w:p>
    <w:p w:rsidR="004D6B82" w:rsidRDefault="004D6B82" w:rsidP="004D6B82">
      <w:pPr>
        <w:pStyle w:val="a4"/>
        <w:numPr>
          <w:ilvl w:val="0"/>
          <w:numId w:val="5"/>
        </w:numPr>
        <w:rPr>
          <w:lang w:val="kk-KZ"/>
        </w:rPr>
      </w:pPr>
      <w:r>
        <w:rPr>
          <w:lang w:val="kk-KZ"/>
        </w:rPr>
        <w:t>зияткерлік ресурстарды тарту үшін күрес факторы ретінде ағылшын тілді бағдарламалар құру.</w:t>
      </w:r>
    </w:p>
    <w:p w:rsidR="004D6B82" w:rsidRDefault="004D6B82" w:rsidP="004D6B82">
      <w:pPr>
        <w:pStyle w:val="a4"/>
        <w:ind w:left="720"/>
        <w:rPr>
          <w:lang w:val="kk-KZ"/>
        </w:rPr>
      </w:pPr>
    </w:p>
    <w:p w:rsidR="004D6B82" w:rsidRDefault="004D6B82" w:rsidP="004D6B82">
      <w:pPr>
        <w:pStyle w:val="a4"/>
        <w:ind w:left="720"/>
        <w:rPr>
          <w:lang w:val="kk-KZ"/>
        </w:rPr>
      </w:pPr>
      <w:r>
        <w:rPr>
          <w:b/>
          <w:lang w:val="kk-KZ"/>
        </w:rPr>
        <w:t xml:space="preserve">ХҚБ бастығы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Е. </w:t>
      </w:r>
      <w:proofErr w:type="spellStart"/>
      <w:r>
        <w:rPr>
          <w:b/>
        </w:rPr>
        <w:t>Кандалина</w:t>
      </w:r>
      <w:proofErr w:type="spellEnd"/>
    </w:p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4D6B82" w:rsidRDefault="004D6B82" w:rsidP="004D6B82">
      <w:pPr>
        <w:rPr>
          <w:b/>
          <w:sz w:val="24"/>
          <w:szCs w:val="24"/>
          <w:lang w:val="kk-KZ"/>
        </w:rPr>
      </w:pPr>
    </w:p>
    <w:p w:rsidR="00AC68E7" w:rsidRDefault="00AC68E7">
      <w:bookmarkStart w:id="0" w:name="_GoBack"/>
      <w:bookmarkEnd w:id="0"/>
    </w:p>
    <w:sectPr w:rsidR="00AC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D75"/>
    <w:multiLevelType w:val="hybridMultilevel"/>
    <w:tmpl w:val="967A63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514E"/>
    <w:multiLevelType w:val="hybridMultilevel"/>
    <w:tmpl w:val="D780C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75098"/>
    <w:multiLevelType w:val="hybridMultilevel"/>
    <w:tmpl w:val="2564B736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68EE307B"/>
    <w:multiLevelType w:val="hybridMultilevel"/>
    <w:tmpl w:val="4D366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87CF8"/>
    <w:multiLevelType w:val="hybridMultilevel"/>
    <w:tmpl w:val="2D1A8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82"/>
    <w:rsid w:val="00016BAB"/>
    <w:rsid w:val="002E72B3"/>
    <w:rsid w:val="004111E8"/>
    <w:rsid w:val="004D6B82"/>
    <w:rsid w:val="00532A0D"/>
    <w:rsid w:val="005D6C54"/>
    <w:rsid w:val="00984388"/>
    <w:rsid w:val="00AB091F"/>
    <w:rsid w:val="00AC68E7"/>
    <w:rsid w:val="00AF6950"/>
    <w:rsid w:val="00B37DC8"/>
    <w:rsid w:val="00B51FF7"/>
    <w:rsid w:val="00BD54FA"/>
    <w:rsid w:val="00C5672F"/>
    <w:rsid w:val="00CF2900"/>
    <w:rsid w:val="00CF6CC6"/>
    <w:rsid w:val="00E35E3D"/>
    <w:rsid w:val="00EA7671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D6B8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4D6B82"/>
    <w:pPr>
      <w:ind w:left="708"/>
      <w:jc w:val="left"/>
    </w:pPr>
    <w:rPr>
      <w:sz w:val="24"/>
      <w:szCs w:val="24"/>
    </w:rPr>
  </w:style>
  <w:style w:type="table" w:styleId="a5">
    <w:name w:val="Table Grid"/>
    <w:basedOn w:val="a1"/>
    <w:uiPriority w:val="59"/>
    <w:rsid w:val="004D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6B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B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D6B8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4D6B82"/>
    <w:pPr>
      <w:ind w:left="708"/>
      <w:jc w:val="left"/>
    </w:pPr>
    <w:rPr>
      <w:sz w:val="24"/>
      <w:szCs w:val="24"/>
    </w:rPr>
  </w:style>
  <w:style w:type="table" w:styleId="a5">
    <w:name w:val="Table Grid"/>
    <w:basedOn w:val="a1"/>
    <w:uiPriority w:val="59"/>
    <w:rsid w:val="004D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6B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B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200"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Қаржыландыру көздері бойынша академиялық ұтқырлық </a:t>
            </a:r>
          </a:p>
        </c:rich>
      </c:tx>
      <c:layout>
        <c:manualLayout>
          <c:xMode val="edge"/>
          <c:yMode val="edge"/>
          <c:x val="4.5765865805235881E-2"/>
          <c:y val="6.708569770194826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054991262765343E-2"/>
          <c:y val="0.37008147419072618"/>
          <c:w val="0.88848962066375292"/>
          <c:h val="0.572048155438903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Қаржыландыру көздері бойынша АҰ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Мемл.бюджет</c:v>
                </c:pt>
                <c:pt idx="1">
                  <c:v>Сыртқы гранттар (Erasmus+, UGRAD)</c:v>
                </c:pt>
                <c:pt idx="2">
                  <c:v>білім алуш-дың меншікті қаражаты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135</c:v>
                </c:pt>
                <c:pt idx="1">
                  <c:v>37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5457197657985047"/>
          <c:y val="0.20934495215256191"/>
          <c:w val="0.42821656404926628"/>
          <c:h val="0.78895632837561969"/>
        </c:manualLayout>
      </c:layout>
      <c:overlay val="0"/>
      <c:txPr>
        <a:bodyPr/>
        <a:lstStyle/>
        <a:p>
          <a:pPr algn="r"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2018-2019 оқу жылында А</a:t>
            </a:r>
            <a:r>
              <a:rPr lang="kk-KZ" sz="1200">
                <a:latin typeface="Times New Roman" pitchFamily="18" charset="0"/>
                <a:cs typeface="Times New Roman" pitchFamily="18" charset="0"/>
              </a:rPr>
              <a:t>Ұ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 қаржыландыру көздері</a:t>
            </a:r>
          </a:p>
        </c:rich>
      </c:tx>
      <c:layout>
        <c:manualLayout>
          <c:xMode val="edge"/>
          <c:yMode val="edge"/>
          <c:x val="1.3252078274365321E-2"/>
          <c:y val="7.495315427857589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988765926621191E-2"/>
          <c:y val="0.32048276913543211"/>
          <c:w val="0.79452820654126532"/>
          <c:h val="0.529844044322692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финансирования АМ в 2018-2019 учебном году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Мемл.бюджет</c:v>
                </c:pt>
                <c:pt idx="1">
                  <c:v>Сыртқы гранттар</c:v>
                </c:pt>
                <c:pt idx="2">
                  <c:v>білім алуш-дың меншікті қаражаты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506561679790027"/>
          <c:y val="0.20925394689985358"/>
          <c:w val="0.37816099016484511"/>
          <c:h val="0.78996983446078728"/>
        </c:manualLayout>
      </c:layout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1</cp:revision>
  <dcterms:created xsi:type="dcterms:W3CDTF">2019-12-25T03:15:00Z</dcterms:created>
  <dcterms:modified xsi:type="dcterms:W3CDTF">2019-12-25T03:15:00Z</dcterms:modified>
</cp:coreProperties>
</file>