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A0" w:firstRow="1" w:lastRow="0" w:firstColumn="1" w:lastColumn="0" w:noHBand="0" w:noVBand="0"/>
      </w:tblPr>
      <w:tblGrid>
        <w:gridCol w:w="4785"/>
        <w:gridCol w:w="4786"/>
      </w:tblGrid>
      <w:tr w:rsidR="00374420" w:rsidRPr="00374420" w:rsidTr="0011146A">
        <w:tc>
          <w:tcPr>
            <w:tcW w:w="2500" w:type="pct"/>
            <w:tcMar>
              <w:top w:w="0" w:type="dxa"/>
              <w:left w:w="108" w:type="dxa"/>
              <w:bottom w:w="0" w:type="dxa"/>
              <w:right w:w="108" w:type="dxa"/>
            </w:tcMar>
          </w:tcPr>
          <w:p w:rsidR="0064049D" w:rsidRPr="00374420" w:rsidRDefault="0064049D" w:rsidP="0011146A">
            <w:pPr>
              <w:spacing w:after="0" w:line="240" w:lineRule="auto"/>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«А.Байтұрсынов атындағы</w:t>
            </w:r>
          </w:p>
          <w:p w:rsidR="0064049D" w:rsidRPr="00374420" w:rsidRDefault="0064049D" w:rsidP="0011146A">
            <w:pPr>
              <w:spacing w:after="0" w:line="240" w:lineRule="auto"/>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 xml:space="preserve">Қостанай мемлекеттік </w:t>
            </w:r>
          </w:p>
          <w:p w:rsidR="0064049D" w:rsidRPr="00374420" w:rsidRDefault="0064049D" w:rsidP="0011146A">
            <w:pPr>
              <w:spacing w:after="0" w:line="240" w:lineRule="auto"/>
              <w:rPr>
                <w:rFonts w:ascii="Times New Roman" w:hAnsi="Times New Roman" w:cs="Times New Roman"/>
                <w:sz w:val="28"/>
                <w:szCs w:val="28"/>
                <w:lang w:eastAsia="ja-JP"/>
              </w:rPr>
            </w:pPr>
            <w:r w:rsidRPr="00374420">
              <w:rPr>
                <w:rFonts w:ascii="Times New Roman" w:hAnsi="Times New Roman" w:cs="Times New Roman"/>
                <w:sz w:val="28"/>
                <w:szCs w:val="28"/>
                <w:lang w:val="kk-KZ" w:eastAsia="ja-JP"/>
              </w:rPr>
              <w:t>университеті» РМК</w:t>
            </w:r>
          </w:p>
        </w:tc>
        <w:tc>
          <w:tcPr>
            <w:tcW w:w="2500" w:type="pct"/>
            <w:tcMar>
              <w:top w:w="0" w:type="dxa"/>
              <w:left w:w="108" w:type="dxa"/>
              <w:bottom w:w="0" w:type="dxa"/>
              <w:right w:w="108" w:type="dxa"/>
            </w:tcMar>
          </w:tcPr>
          <w:p w:rsidR="0064049D" w:rsidRPr="00374420" w:rsidRDefault="0064049D" w:rsidP="0011146A">
            <w:pPr>
              <w:spacing w:after="0" w:line="240" w:lineRule="auto"/>
              <w:ind w:left="1027"/>
              <w:jc w:val="right"/>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РГП «Костанайский государственный университет имени А.Байтурсынова»</w:t>
            </w:r>
          </w:p>
        </w:tc>
      </w:tr>
      <w:tr w:rsidR="00374420" w:rsidRPr="00374420" w:rsidTr="0011146A">
        <w:tc>
          <w:tcPr>
            <w:tcW w:w="2500" w:type="pct"/>
            <w:tcMar>
              <w:top w:w="0" w:type="dxa"/>
              <w:left w:w="108" w:type="dxa"/>
              <w:bottom w:w="0" w:type="dxa"/>
              <w:right w:w="108" w:type="dxa"/>
            </w:tcMar>
          </w:tcPr>
          <w:p w:rsidR="0064049D" w:rsidRPr="00374420" w:rsidRDefault="0064049D" w:rsidP="0011146A">
            <w:pPr>
              <w:spacing w:after="0" w:line="240" w:lineRule="auto"/>
              <w:ind w:left="283"/>
              <w:rPr>
                <w:rFonts w:ascii="Times New Roman" w:hAnsi="Times New Roman" w:cs="Times New Roman"/>
                <w:b/>
                <w:sz w:val="28"/>
                <w:szCs w:val="28"/>
                <w:lang w:eastAsia="ja-JP"/>
              </w:rPr>
            </w:pPr>
            <w:r w:rsidRPr="00374420">
              <w:rPr>
                <w:rFonts w:ascii="Times New Roman" w:hAnsi="Times New Roman" w:cs="Times New Roman"/>
                <w:b/>
                <w:sz w:val="28"/>
                <w:szCs w:val="28"/>
                <w:lang w:eastAsia="ja-JP"/>
              </w:rPr>
              <w:t> </w:t>
            </w:r>
          </w:p>
        </w:tc>
        <w:tc>
          <w:tcPr>
            <w:tcW w:w="2500" w:type="pct"/>
            <w:tcMar>
              <w:top w:w="0" w:type="dxa"/>
              <w:left w:w="108" w:type="dxa"/>
              <w:bottom w:w="0" w:type="dxa"/>
              <w:right w:w="108" w:type="dxa"/>
            </w:tcMar>
          </w:tcPr>
          <w:p w:rsidR="0064049D" w:rsidRPr="00374420" w:rsidRDefault="0064049D" w:rsidP="0011146A">
            <w:pPr>
              <w:spacing w:after="0" w:line="240" w:lineRule="auto"/>
              <w:ind w:left="1027" w:firstLine="283"/>
              <w:jc w:val="right"/>
              <w:rPr>
                <w:rFonts w:ascii="Times New Roman" w:hAnsi="Times New Roman" w:cs="Times New Roman"/>
                <w:b/>
                <w:sz w:val="28"/>
                <w:szCs w:val="28"/>
                <w:lang w:eastAsia="ja-JP"/>
              </w:rPr>
            </w:pPr>
            <w:r w:rsidRPr="00374420">
              <w:rPr>
                <w:rFonts w:ascii="Times New Roman" w:hAnsi="Times New Roman" w:cs="Times New Roman"/>
                <w:b/>
                <w:sz w:val="28"/>
                <w:szCs w:val="28"/>
                <w:lang w:eastAsia="ja-JP"/>
              </w:rPr>
              <w:t> </w:t>
            </w:r>
          </w:p>
        </w:tc>
      </w:tr>
      <w:tr w:rsidR="00374420" w:rsidRPr="00374420" w:rsidTr="0011146A">
        <w:tc>
          <w:tcPr>
            <w:tcW w:w="2500" w:type="pct"/>
            <w:tcMar>
              <w:top w:w="0" w:type="dxa"/>
              <w:left w:w="108" w:type="dxa"/>
              <w:bottom w:w="0" w:type="dxa"/>
              <w:right w:w="108" w:type="dxa"/>
            </w:tcMar>
          </w:tcPr>
          <w:p w:rsidR="0064049D" w:rsidRPr="00374420" w:rsidRDefault="0064049D" w:rsidP="0011146A">
            <w:pPr>
              <w:spacing w:after="0" w:line="240" w:lineRule="auto"/>
              <w:rPr>
                <w:rFonts w:ascii="Times New Roman" w:hAnsi="Times New Roman" w:cs="Times New Roman"/>
                <w:b/>
                <w:sz w:val="28"/>
                <w:szCs w:val="28"/>
                <w:lang w:val="kk-KZ"/>
              </w:rPr>
            </w:pPr>
            <w:r w:rsidRPr="00374420">
              <w:rPr>
                <w:rFonts w:ascii="Times New Roman" w:hAnsi="Times New Roman" w:cs="Times New Roman"/>
                <w:b/>
                <w:sz w:val="28"/>
                <w:szCs w:val="28"/>
                <w:lang w:val="kk-KZ"/>
              </w:rPr>
              <w:t>АНЫҚТАМА</w:t>
            </w:r>
          </w:p>
        </w:tc>
        <w:tc>
          <w:tcPr>
            <w:tcW w:w="2500" w:type="pct"/>
            <w:tcMar>
              <w:top w:w="0" w:type="dxa"/>
              <w:left w:w="108" w:type="dxa"/>
              <w:bottom w:w="0" w:type="dxa"/>
              <w:right w:w="108" w:type="dxa"/>
            </w:tcMar>
          </w:tcPr>
          <w:p w:rsidR="0064049D" w:rsidRPr="00374420" w:rsidRDefault="0064049D" w:rsidP="0011146A">
            <w:pPr>
              <w:spacing w:after="0" w:line="240" w:lineRule="auto"/>
              <w:jc w:val="right"/>
              <w:rPr>
                <w:rFonts w:ascii="Times New Roman" w:hAnsi="Times New Roman" w:cs="Times New Roman"/>
                <w:b/>
                <w:sz w:val="28"/>
                <w:szCs w:val="28"/>
                <w:lang w:val="kk-KZ"/>
              </w:rPr>
            </w:pPr>
            <w:r w:rsidRPr="00374420">
              <w:rPr>
                <w:rFonts w:ascii="Times New Roman" w:hAnsi="Times New Roman" w:cs="Times New Roman"/>
                <w:b/>
                <w:sz w:val="28"/>
                <w:szCs w:val="28"/>
              </w:rPr>
              <w:t xml:space="preserve"> СПРАВКА</w:t>
            </w:r>
          </w:p>
        </w:tc>
      </w:tr>
      <w:tr w:rsidR="00374420" w:rsidRPr="00374420" w:rsidTr="0011146A">
        <w:tc>
          <w:tcPr>
            <w:tcW w:w="2500" w:type="pct"/>
            <w:tcMar>
              <w:top w:w="0" w:type="dxa"/>
              <w:left w:w="108" w:type="dxa"/>
              <w:bottom w:w="0" w:type="dxa"/>
              <w:right w:w="108" w:type="dxa"/>
            </w:tcMar>
          </w:tcPr>
          <w:p w:rsidR="0064049D" w:rsidRPr="00374420" w:rsidRDefault="0064049D" w:rsidP="0011146A">
            <w:pPr>
              <w:spacing w:after="0" w:line="240" w:lineRule="auto"/>
              <w:rPr>
                <w:rFonts w:ascii="Times New Roman" w:hAnsi="Times New Roman" w:cs="Times New Roman"/>
                <w:sz w:val="28"/>
                <w:szCs w:val="28"/>
                <w:lang w:val="kk-KZ"/>
              </w:rPr>
            </w:pPr>
            <w:r w:rsidRPr="00374420">
              <w:rPr>
                <w:rFonts w:ascii="Times New Roman" w:hAnsi="Times New Roman" w:cs="Times New Roman"/>
                <w:sz w:val="28"/>
                <w:szCs w:val="28"/>
                <w:lang w:val="kk-KZ"/>
              </w:rPr>
              <w:t>ғылыми кеңес отырысына</w:t>
            </w:r>
          </w:p>
        </w:tc>
        <w:tc>
          <w:tcPr>
            <w:tcW w:w="2500" w:type="pct"/>
            <w:tcMar>
              <w:top w:w="0" w:type="dxa"/>
              <w:left w:w="108" w:type="dxa"/>
              <w:bottom w:w="0" w:type="dxa"/>
              <w:right w:w="108" w:type="dxa"/>
            </w:tcMar>
          </w:tcPr>
          <w:p w:rsidR="0064049D" w:rsidRPr="00374420" w:rsidRDefault="0064049D" w:rsidP="0011146A">
            <w:pPr>
              <w:tabs>
                <w:tab w:val="left" w:pos="1027"/>
              </w:tabs>
              <w:spacing w:after="0" w:line="240" w:lineRule="auto"/>
              <w:jc w:val="right"/>
              <w:rPr>
                <w:rFonts w:ascii="Times New Roman" w:hAnsi="Times New Roman" w:cs="Times New Roman"/>
                <w:sz w:val="28"/>
                <w:szCs w:val="28"/>
                <w:lang w:val="kk-KZ"/>
              </w:rPr>
            </w:pPr>
            <w:r w:rsidRPr="00374420">
              <w:rPr>
                <w:rFonts w:ascii="Times New Roman" w:hAnsi="Times New Roman" w:cs="Times New Roman"/>
                <w:sz w:val="28"/>
                <w:szCs w:val="28"/>
                <w:lang w:val="kk-KZ"/>
              </w:rPr>
              <w:t>на заседание ученого совета</w:t>
            </w:r>
          </w:p>
        </w:tc>
      </w:tr>
      <w:tr w:rsidR="00374420" w:rsidRPr="00374420" w:rsidTr="0011146A">
        <w:tc>
          <w:tcPr>
            <w:tcW w:w="2500" w:type="pct"/>
            <w:tcMar>
              <w:top w:w="0" w:type="dxa"/>
              <w:left w:w="108" w:type="dxa"/>
              <w:bottom w:w="0" w:type="dxa"/>
              <w:right w:w="108" w:type="dxa"/>
            </w:tcMar>
          </w:tcPr>
          <w:p w:rsidR="0064049D" w:rsidRPr="00374420" w:rsidRDefault="0064049D" w:rsidP="0064049D">
            <w:pPr>
              <w:spacing w:after="0" w:line="240" w:lineRule="auto"/>
              <w:ind w:left="283" w:hanging="283"/>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28</w:t>
            </w:r>
            <w:r w:rsidRPr="00374420">
              <w:rPr>
                <w:rFonts w:ascii="Times New Roman" w:hAnsi="Times New Roman" w:cs="Times New Roman"/>
                <w:sz w:val="28"/>
                <w:szCs w:val="28"/>
                <w:lang w:eastAsia="ja-JP"/>
              </w:rPr>
              <w:t>.02.2020</w:t>
            </w:r>
            <w:r w:rsidRPr="00374420">
              <w:rPr>
                <w:rFonts w:ascii="Times New Roman" w:hAnsi="Times New Roman" w:cs="Times New Roman"/>
                <w:sz w:val="28"/>
                <w:szCs w:val="28"/>
                <w:lang w:val="kk-KZ" w:eastAsia="ja-JP"/>
              </w:rPr>
              <w:t xml:space="preserve"> ж.</w:t>
            </w:r>
          </w:p>
        </w:tc>
        <w:tc>
          <w:tcPr>
            <w:tcW w:w="2500" w:type="pct"/>
            <w:tcMar>
              <w:top w:w="0" w:type="dxa"/>
              <w:left w:w="108" w:type="dxa"/>
              <w:bottom w:w="0" w:type="dxa"/>
              <w:right w:w="108" w:type="dxa"/>
            </w:tcMar>
          </w:tcPr>
          <w:p w:rsidR="0064049D" w:rsidRPr="00374420" w:rsidRDefault="0064049D" w:rsidP="0064049D">
            <w:pPr>
              <w:spacing w:after="0" w:line="240" w:lineRule="auto"/>
              <w:ind w:left="283"/>
              <w:jc w:val="right"/>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28.02.2020 г.</w:t>
            </w:r>
          </w:p>
        </w:tc>
      </w:tr>
      <w:tr w:rsidR="00374420" w:rsidRPr="00374420" w:rsidTr="0011146A">
        <w:tc>
          <w:tcPr>
            <w:tcW w:w="2500" w:type="pct"/>
            <w:tcMar>
              <w:top w:w="0" w:type="dxa"/>
              <w:left w:w="108" w:type="dxa"/>
              <w:bottom w:w="0" w:type="dxa"/>
              <w:right w:w="108" w:type="dxa"/>
            </w:tcMar>
          </w:tcPr>
          <w:p w:rsidR="0064049D" w:rsidRPr="00374420" w:rsidRDefault="0064049D" w:rsidP="0011146A">
            <w:pPr>
              <w:spacing w:after="0" w:line="240" w:lineRule="auto"/>
              <w:rPr>
                <w:rFonts w:ascii="Times New Roman" w:hAnsi="Times New Roman" w:cs="Times New Roman"/>
                <w:sz w:val="28"/>
                <w:szCs w:val="28"/>
              </w:rPr>
            </w:pPr>
            <w:r w:rsidRPr="00374420">
              <w:rPr>
                <w:rFonts w:ascii="Times New Roman" w:hAnsi="Times New Roman" w:cs="Times New Roman"/>
                <w:sz w:val="28"/>
                <w:szCs w:val="28"/>
                <w:lang w:val="kk-KZ"/>
              </w:rPr>
              <w:t>Қостанай қаласы</w:t>
            </w:r>
          </w:p>
        </w:tc>
        <w:tc>
          <w:tcPr>
            <w:tcW w:w="2500" w:type="pct"/>
            <w:tcMar>
              <w:top w:w="0" w:type="dxa"/>
              <w:left w:w="108" w:type="dxa"/>
              <w:bottom w:w="0" w:type="dxa"/>
              <w:right w:w="108" w:type="dxa"/>
            </w:tcMar>
          </w:tcPr>
          <w:p w:rsidR="0064049D" w:rsidRPr="00374420" w:rsidRDefault="0064049D" w:rsidP="0011146A">
            <w:pPr>
              <w:spacing w:after="0" w:line="240" w:lineRule="auto"/>
              <w:ind w:left="283"/>
              <w:jc w:val="right"/>
              <w:rPr>
                <w:rFonts w:ascii="Times New Roman" w:hAnsi="Times New Roman" w:cs="Times New Roman"/>
                <w:sz w:val="28"/>
                <w:szCs w:val="28"/>
                <w:lang w:eastAsia="ja-JP"/>
              </w:rPr>
            </w:pPr>
            <w:r w:rsidRPr="00374420">
              <w:rPr>
                <w:rFonts w:ascii="Times New Roman" w:hAnsi="Times New Roman" w:cs="Times New Roman"/>
                <w:sz w:val="28"/>
                <w:szCs w:val="28"/>
                <w:lang w:val="kk-KZ" w:eastAsia="ja-JP"/>
              </w:rPr>
              <w:t xml:space="preserve"> город Костанай</w:t>
            </w:r>
          </w:p>
        </w:tc>
      </w:tr>
    </w:tbl>
    <w:p w:rsidR="00E51E73" w:rsidRDefault="00E51E73" w:rsidP="00E51E73">
      <w:pPr>
        <w:spacing w:after="0" w:line="240" w:lineRule="auto"/>
        <w:rPr>
          <w:rFonts w:ascii="Times New Roman" w:hAnsi="Times New Roman" w:cs="Times New Roman"/>
          <w:sz w:val="28"/>
          <w:szCs w:val="28"/>
          <w:lang w:val="kk-KZ" w:eastAsia="ja-JP"/>
        </w:rPr>
      </w:pPr>
    </w:p>
    <w:p w:rsidR="00A20490" w:rsidRPr="00A20490" w:rsidRDefault="00A20490" w:rsidP="00A20490">
      <w:pPr>
        <w:spacing w:after="0" w:line="240" w:lineRule="auto"/>
        <w:ind w:firstLine="709"/>
        <w:jc w:val="both"/>
        <w:rPr>
          <w:rFonts w:ascii="Times New Roman" w:hAnsi="Times New Roman" w:cs="Times New Roman"/>
          <w:b/>
          <w:i/>
          <w:sz w:val="28"/>
          <w:szCs w:val="28"/>
          <w:lang w:val="kk-KZ" w:eastAsia="ja-JP"/>
        </w:rPr>
      </w:pPr>
      <w:r w:rsidRPr="00A20490">
        <w:rPr>
          <w:rFonts w:ascii="Times New Roman" w:hAnsi="Times New Roman" w:cs="Times New Roman"/>
          <w:b/>
          <w:i/>
          <w:sz w:val="28"/>
          <w:szCs w:val="28"/>
          <w:lang w:val="kk-KZ" w:eastAsia="ja-JP"/>
        </w:rPr>
        <w:t>ПОҚ және білім алушылардың оқу процесін ұйымдастыру қанағаттануын арттыру туралы</w:t>
      </w:r>
    </w:p>
    <w:p w:rsidR="00A20490" w:rsidRPr="00A20490" w:rsidRDefault="00A20490" w:rsidP="00A20490">
      <w:pPr>
        <w:spacing w:after="0" w:line="240" w:lineRule="auto"/>
        <w:rPr>
          <w:rFonts w:ascii="Times New Roman" w:hAnsi="Times New Roman" w:cs="Times New Roman"/>
          <w:sz w:val="28"/>
          <w:szCs w:val="28"/>
          <w:lang w:val="kk-KZ" w:eastAsia="ja-JP"/>
        </w:rPr>
      </w:pP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Мен өз хабарламамда білім алушылар мен ПОҚ-тың оқу үдерісін ұйымдастыруға тікелей байланысты мәселелер бойынша сауалнама жүргізу қорытындыларына тоқталамын. Бұл оқу үдерісін жоспарлау, оны сүйемелдеу және қолдау мәселелері. Сондай-ақ, осы мәселені қарау НААР аккредиттеу агенттігінің ұсыныстарымен жасалғанын еске салып өткім келеді.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Университет аудиторияларында микроклиматпен орташа қанағаттанушылық (жарықтандыру, ауа сапасы және температуралық режим) студенттер үшін 69,4% және оқытушылар үшін тек 43,7% құрайды. Бұл ретте респонденттердің екі тобы да температуралық режимге қанағаттанудың аз екендігін білдіреді.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Материалдық базамен қанағаттанушылық (аудиториялық қор, отыратын орын саны, жиһаздың, мультимедиялық жабдықтар мен компьютерлік техниканың саны мен сапасы) студенттердің 62% – ын, оқытушылардың 37% - ын құрайды. Бұл ретте мультимедиялық және компьютерлік техниканың жай-күйі қанағаттанудың аздығы туғызады.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Зертханалық қамтамасыз ету және интернет-қосылыстың сапасын студенттер мен оқытушылар арасында тиісінше 65% және 42% қанағаттандырады. Интернет-қосылыс сапасына ең аз қанағаттану байқалады.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Оқу режиміне қанағаттанушылықты талдау (бес күндік, сабақтардың басталуы, түскі үзіліс, күн ішіндегі сабақтардың саны және т.б.) студенттер үшін орташа көрсеткіш мөлшері 78%, ал оқытушылар үшін 76 құрайды. Бұл ретте тамақ ішуге арналған үзілістің болуымен және ұзақтығымен қанағаттануды студенттердің 63% - ы және оқытушылардың 43% - ы айтады. Яғни, оқытушылардың 57% - ы түскі ас үзілісі жүйесіне қанағаттанбаған.</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Оқытушылардың 87% – ы студенттердің жазылу формасы негізінде академиялық ағымдарды қалыптастыруға, 69% - ы-рентабельділік принципі бойынша топ санын шектеуге дайын екендіктерін білдірді. Сонымен қатар, шағын жинақты топтардан бас тартуға сұралғандардың 48% - ы ғана дайын, бұл академиялық ағындарды қалыптастыру қағидаларын, сондай-ақ студенттер саны мен оқытушылар санының арақатынасын анықтау тетіктерін жаппай түсінбеушілік туралы айтады.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lastRenderedPageBreak/>
        <w:t>Жүктемені жоспарлаумен орта есеппен оқытушылардың 63% қанағаттандырылды, ең төмен қанағаттану – 53% – ставкаға жүктеме көлемі (аудиториялық жүктеменің үлкен көлемі және пәндердің үлкен саны).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Академиялық ұтқырлық бағдарламасына қатысуға дайын болмауы студенттердің 9% – ы қаржы жетіспеушілігіне, 26,6% - ы шет тілдерін білу деңгейіне себеп болды. Тағы 13,2% тек ішкі ұтқырлыққа қатысуға дайын. Осылайша, интернационалдандырудың маңызды бағыттарының бірі ретінде сыртқы ұтқырлыққа студенттердің 48,2% - ы дайын емес деп санайды. Оқытушылар арасында мұндай 61,4%, бұл ретте негізгі кедергі шетел тілін (іс жүзінде, ағылшын) білмеу болып табылады.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Сонымен қатар, студенттердің 47,7% - ы мен оқытушылардың 55,8% - ы қос диплом бағдарламасы бойынша оқуға дайын емес (мұнда студенттердің 27,5% - ы мен оқытушылардың 24,7% - ы қосымша қаржылық салымдарды қажет етеді).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Соңғы екі сұрақтан көрініп тұрғандай, "Студент-Оқытушы" қарым-қатынас шеңберінен шыққан кезде, мотивация және өзін-өзі бағалау деңгейі сауалнама қатысушыларында өте жақын.</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Сонымен қатар, студенттер мен оқытушылардың тілектеріне талдау жасалды. Студенттер белгілі бір дәрежеде конструктивті ұсыныстар беріп, ағымдағы жағдайды бағалауда үлкен оптимизм көрсетті.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 xml:space="preserve">Талдау тек бір бағыт бойынша ұсыныстардың сәйкес келуін көрсетеді-оқу процесін өзекті компьютерлік және мультимедиялық техникамен қамтамасыз етуді жақсарту. </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Сондай-ақ, студенттердің оқытушылардың біліктілігіне және олардың оқу нәтижелеріне деген қызығушылығына қатысты тілектері ерекше назар аударуды талап етеді. Слайдтағы студенттердің тілектерін қараңыз. Бұл өте қауіпті симптом.</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 xml:space="preserve">Оқытушылар мен студенттер оқу аудиторияларында зертханалық жабдықтар мен жиһаздардың жағдайына қатысты терең алаңдаушылық білдіреді (оқытушылар осы көрсеткіштерге студенттер қарағанда аз қанағаттанса да, осы тақырыпқа деген тілектер аз болды). </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Студенттердің оқу жүктемесін жоспарлау үдерістерін толық түсінбеуі көп жағдайда бір-бірін жоққа шығаратын келесі ортақ тілектердің үйлесімін ашады. Бұл тамақ ішуге ұзақ уақыт үзіліс енгізу; пәндердің үлкен тізбесінен нақты таңдауын қамтамасыз ету; терезесіз кесте құру; сабақтардың күн сайын 13-14 сағаттан кешіктірмей аяқталуы.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Оқытушылардың тілектерін жалпы 4 топқа бөлуге болады:</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1) жүктемені жоспарлауды жақсарту (ставкалар бойынша пәндер мен сағаттардың көп саны, бір жыл және апта ішінде біркелкі бөлінбеуі));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2) оқытушылардың оқу процесімен тікелей байланысты емес үдерістермен жүктелуін азайту (аудиториядан тыс іс-шаралар, есептер жасау, ақпарат жинау);</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3) материалдық-техникалық базаны жаңғырту (компьютерлер, мультимедиялық жабдықтар, Оқу корпустарындағы микроклимат);</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lastRenderedPageBreak/>
        <w:t>4) бөлімдер мен қызметтердің жұмысын жақсарту (қайталанатын сұраныстарды болдырмау, алынған ақпаратты жинау мен пайдалануды ұтымды ету).</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Жеке, ең танымал позиция-жалақыны ұлғайту. Бұл сауалнаманың мақсатын түсіну деңгейін, сондай-ақ сауалнамада жалпы алғанда респонденттердің тепе-теңдігін түсіну деңгейін білдіреді.</w:t>
      </w:r>
    </w:p>
    <w:p w:rsidR="00A20490" w:rsidRPr="00A20490" w:rsidRDefault="00A20490" w:rsidP="00A20490">
      <w:pPr>
        <w:spacing w:after="0" w:line="240" w:lineRule="auto"/>
        <w:ind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Ұсыныстар ретінде келесі іс-шараларды өткізу орынды деп санаймыз:</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кафедраның білім беру бағдарламасын іс жүзінде әзірлеуден академиялық комитеттің пәнаралық қамтамасыз ету және университеттің барлық құрылымдық бөлімшелерінің әлеуетін толық пайдалану мақсатында оны әзірлеуіне баса назар аудара отырып бас тарту.  Университет көлемінде пәндер санын түбегейлі азайту;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элементтерді пайдалану есебінен аудиториялық сабақтар санын қысқарту;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рентабельділіктің жеткілікті деңгейіне қол жеткізгеннен кейін академиялық ағынның санын шектей отырып, пәндерге жазу қорытындысы бойынша академиялық ағындарды қалыптастыруға көшу (бағалау, 20-25 адам);</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университет корпустарының энергия аудитін жүргізу;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терезелерді, шырақтарды, үстелдерді, орындықтарды жөндеу/ауыстыру көлемін анықтай отырып және қажетті бюджетті есептей отырып, аудиторлық қорға тексеру жүргізу;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университеттің барлық корпустарының аумағында Wi-Fi тұрақты жабуын қамтамасыз ету;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оқу процесінде студенттермен бірге әкелген смартфондарды, ноутбуктер мен планшеттерді пайдалану мүмкіндігін қамтамасыз ету үшін аудиторияларда тармақталған Розетка желісін құруды (жөндеу сатысында) қарастыру (бұл компьютер паркін түбегейлі жаңартуға қарағанда аз салымдарды талап етеді).);</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 xml:space="preserve">ақпаратты жинау, оны жүйелеу және кейіннен пайдалану жөнінде ӘБП үшін семинар ұйымдастыру; </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қорытынды бақылау тапсырмасын тапсырған қатысушыларды сертификаттаумен барлық ПОҚ жүктемені жоспарлау және есептеу бойынша семинар ұйымдастыру (кафедраға жүктемені жоспарлау));</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оқу жылының соңында Ғылыми кеңестің кеңейтілген отырысында бүгінгі ғылыми кеңес шешімінің әрбір тармағы бойынша жауаптылардың атқарған жұмысы туралы есептерін тыңдауға құқылы.</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Кері байланыс кез келген құрылымдық бөлімшенің қызметі үшін өте маңызды екенін ескере отырып, барлық мүдделі Тараптардың оның қызметі туралы пікірін алуға және жұмыс сапасын жақсартуға мүмкіндік береді, онда мен тағы бір ұсынысты қою орынды деп санаймын:</w:t>
      </w:r>
    </w:p>
    <w:p w:rsidR="00A20490" w:rsidRPr="00A20490" w:rsidRDefault="00A20490" w:rsidP="00A20490">
      <w:pPr>
        <w:pStyle w:val="a3"/>
        <w:numPr>
          <w:ilvl w:val="0"/>
          <w:numId w:val="4"/>
        </w:numPr>
        <w:tabs>
          <w:tab w:val="left" w:pos="1134"/>
        </w:tabs>
        <w:spacing w:after="0" w:line="240" w:lineRule="auto"/>
        <w:ind w:left="0" w:firstLine="709"/>
        <w:jc w:val="both"/>
        <w:rPr>
          <w:rFonts w:ascii="Times New Roman" w:hAnsi="Times New Roman" w:cs="Times New Roman"/>
          <w:sz w:val="28"/>
          <w:szCs w:val="28"/>
          <w:lang w:val="kk-KZ" w:eastAsia="ja-JP"/>
        </w:rPr>
      </w:pPr>
      <w:r w:rsidRPr="00A20490">
        <w:rPr>
          <w:rFonts w:ascii="Times New Roman" w:hAnsi="Times New Roman" w:cs="Times New Roman"/>
          <w:sz w:val="28"/>
          <w:szCs w:val="28"/>
          <w:lang w:val="kk-KZ" w:eastAsia="ja-JP"/>
        </w:rPr>
        <w:t>университеттің құрылымдық бөлімшелеріне мақсатты аудиторияның қанағаттанушылық дәрежесін анықтау бойынша барлық мүдделі тараптарға жүйелі түрде (жылына кемінде бір рет) сауалнама жүргізу.</w:t>
      </w:r>
    </w:p>
    <w:p w:rsidR="00E51E73" w:rsidRPr="00FD3880" w:rsidRDefault="00E51E73" w:rsidP="00E51E73">
      <w:pPr>
        <w:widowControl w:val="0"/>
        <w:tabs>
          <w:tab w:val="left" w:pos="1134"/>
        </w:tabs>
        <w:spacing w:after="0" w:line="240" w:lineRule="auto"/>
        <w:jc w:val="both"/>
        <w:rPr>
          <w:rFonts w:ascii="Times New Roman" w:hAnsi="Times New Roman" w:cs="Times New Roman"/>
          <w:sz w:val="28"/>
          <w:szCs w:val="28"/>
          <w:lang w:val="kk-KZ"/>
        </w:rPr>
      </w:pPr>
      <w:bookmarkStart w:id="0" w:name="_GoBack"/>
      <w:bookmarkEnd w:id="0"/>
    </w:p>
    <w:p w:rsidR="00E51E73" w:rsidRPr="00374420" w:rsidRDefault="00E51E73" w:rsidP="00E51E73">
      <w:pPr>
        <w:spacing w:after="0" w:line="240" w:lineRule="auto"/>
        <w:ind w:firstLine="709"/>
        <w:jc w:val="both"/>
        <w:rPr>
          <w:rFonts w:ascii="Times New Roman" w:hAnsi="Times New Roman" w:cs="Times New Roman"/>
          <w:b/>
          <w:sz w:val="28"/>
          <w:szCs w:val="28"/>
          <w:lang w:val="kk-KZ" w:eastAsia="ja-JP"/>
        </w:rPr>
      </w:pPr>
      <w:r w:rsidRPr="00374420">
        <w:rPr>
          <w:rFonts w:ascii="Times New Roman" w:hAnsi="Times New Roman" w:cs="Times New Roman"/>
          <w:b/>
          <w:sz w:val="28"/>
          <w:szCs w:val="28"/>
          <w:lang w:val="kk-KZ" w:eastAsia="ja-JP"/>
        </w:rPr>
        <w:t xml:space="preserve">САРБ бастығы </w:t>
      </w:r>
      <w:r w:rsidRPr="00374420">
        <w:rPr>
          <w:rFonts w:ascii="Times New Roman" w:hAnsi="Times New Roman" w:cs="Times New Roman"/>
          <w:b/>
          <w:sz w:val="28"/>
          <w:szCs w:val="28"/>
          <w:lang w:val="kk-KZ" w:eastAsia="ja-JP"/>
        </w:rPr>
        <w:tab/>
        <w:t>/</w:t>
      </w:r>
    </w:p>
    <w:p w:rsidR="00E51E73" w:rsidRPr="00374420" w:rsidRDefault="00E51E73" w:rsidP="00E51E73">
      <w:pPr>
        <w:spacing w:after="0" w:line="240" w:lineRule="auto"/>
        <w:ind w:firstLine="709"/>
        <w:jc w:val="both"/>
        <w:rPr>
          <w:rFonts w:ascii="Times New Roman" w:hAnsi="Times New Roman" w:cs="Times New Roman"/>
          <w:b/>
          <w:sz w:val="28"/>
          <w:szCs w:val="28"/>
          <w:lang w:val="kk-KZ" w:eastAsia="ja-JP"/>
        </w:rPr>
      </w:pPr>
      <w:r w:rsidRPr="00374420">
        <w:rPr>
          <w:rFonts w:ascii="Times New Roman" w:hAnsi="Times New Roman" w:cs="Times New Roman"/>
          <w:b/>
          <w:sz w:val="28"/>
          <w:szCs w:val="28"/>
          <w:lang w:eastAsia="ja-JP"/>
        </w:rPr>
        <w:t>Начальник ОСАР</w:t>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r>
      <w:r w:rsidRPr="00374420">
        <w:rPr>
          <w:rFonts w:ascii="Times New Roman" w:hAnsi="Times New Roman" w:cs="Times New Roman"/>
          <w:b/>
          <w:sz w:val="28"/>
          <w:szCs w:val="28"/>
          <w:lang w:val="kk-KZ" w:eastAsia="ja-JP"/>
        </w:rPr>
        <w:tab/>
        <w:t>Ф. Майер</w:t>
      </w:r>
    </w:p>
    <w:p w:rsidR="00E51E73" w:rsidRPr="00374420" w:rsidRDefault="00E51E73" w:rsidP="00E51E73">
      <w:pPr>
        <w:spacing w:after="0" w:line="240" w:lineRule="auto"/>
        <w:rPr>
          <w:rFonts w:ascii="Times New Roman" w:hAnsi="Times New Roman" w:cs="Times New Roman"/>
          <w:sz w:val="28"/>
          <w:szCs w:val="28"/>
          <w:lang w:val="kk-KZ" w:eastAsia="ja-JP"/>
        </w:rPr>
      </w:pPr>
    </w:p>
    <w:p w:rsidR="00E51E73" w:rsidRPr="00A20490" w:rsidRDefault="00E51E73" w:rsidP="00A20490">
      <w:pPr>
        <w:spacing w:after="0" w:line="240" w:lineRule="auto"/>
        <w:jc w:val="center"/>
        <w:rPr>
          <w:rFonts w:ascii="Times New Roman" w:hAnsi="Times New Roman" w:cs="Times New Roman"/>
          <w:sz w:val="28"/>
          <w:szCs w:val="28"/>
          <w:lang w:val="kk-KZ" w:eastAsia="ja-JP"/>
        </w:rPr>
      </w:pPr>
      <w:r w:rsidRPr="00374420">
        <w:rPr>
          <w:rFonts w:ascii="Times New Roman" w:hAnsi="Times New Roman" w:cs="Times New Roman"/>
          <w:sz w:val="28"/>
          <w:szCs w:val="28"/>
          <w:lang w:val="kk-KZ" w:eastAsia="ja-JP"/>
        </w:rPr>
        <w:t>28.01.2020 ж.</w:t>
      </w:r>
      <w:r w:rsidRPr="00374420">
        <w:rPr>
          <w:rFonts w:ascii="Times New Roman" w:hAnsi="Times New Roman" w:cs="Times New Roman"/>
          <w:sz w:val="28"/>
          <w:szCs w:val="28"/>
          <w:lang w:eastAsia="ja-JP"/>
        </w:rPr>
        <w:t>/г.</w:t>
      </w:r>
    </w:p>
    <w:sectPr w:rsidR="00E51E73" w:rsidRPr="00A2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6D38"/>
    <w:multiLevelType w:val="hybridMultilevel"/>
    <w:tmpl w:val="48BE056C"/>
    <w:lvl w:ilvl="0" w:tplc="6DF4B52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ED05817"/>
    <w:multiLevelType w:val="hybridMultilevel"/>
    <w:tmpl w:val="4D8C4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69B4AD5"/>
    <w:multiLevelType w:val="hybridMultilevel"/>
    <w:tmpl w:val="7D64D11E"/>
    <w:lvl w:ilvl="0" w:tplc="05BC59C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244817"/>
    <w:multiLevelType w:val="hybridMultilevel"/>
    <w:tmpl w:val="B204C2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99E1482"/>
    <w:multiLevelType w:val="hybridMultilevel"/>
    <w:tmpl w:val="CDE45B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B7"/>
    <w:rsid w:val="00100722"/>
    <w:rsid w:val="00141B2E"/>
    <w:rsid w:val="00184467"/>
    <w:rsid w:val="001D0C50"/>
    <w:rsid w:val="001D7549"/>
    <w:rsid w:val="002042ED"/>
    <w:rsid w:val="00226C28"/>
    <w:rsid w:val="00277AFF"/>
    <w:rsid w:val="0035005C"/>
    <w:rsid w:val="00374420"/>
    <w:rsid w:val="00451959"/>
    <w:rsid w:val="00473CBF"/>
    <w:rsid w:val="00477459"/>
    <w:rsid w:val="00510384"/>
    <w:rsid w:val="00516286"/>
    <w:rsid w:val="00614B8D"/>
    <w:rsid w:val="0064049D"/>
    <w:rsid w:val="006776AB"/>
    <w:rsid w:val="00694BD0"/>
    <w:rsid w:val="006D1EB2"/>
    <w:rsid w:val="006F679E"/>
    <w:rsid w:val="006F7BD4"/>
    <w:rsid w:val="007054F6"/>
    <w:rsid w:val="007606E8"/>
    <w:rsid w:val="007A396A"/>
    <w:rsid w:val="007B4E24"/>
    <w:rsid w:val="007C38E2"/>
    <w:rsid w:val="00811820"/>
    <w:rsid w:val="008658C8"/>
    <w:rsid w:val="008A5EDE"/>
    <w:rsid w:val="008B5030"/>
    <w:rsid w:val="008D538E"/>
    <w:rsid w:val="009161CE"/>
    <w:rsid w:val="00977F65"/>
    <w:rsid w:val="009975A8"/>
    <w:rsid w:val="009B039B"/>
    <w:rsid w:val="00A20490"/>
    <w:rsid w:val="00A27C1D"/>
    <w:rsid w:val="00B66F5E"/>
    <w:rsid w:val="00BA6317"/>
    <w:rsid w:val="00BC0FB7"/>
    <w:rsid w:val="00BC4F37"/>
    <w:rsid w:val="00BC4F3C"/>
    <w:rsid w:val="00C95235"/>
    <w:rsid w:val="00CF2CE2"/>
    <w:rsid w:val="00D2475B"/>
    <w:rsid w:val="00DA15C6"/>
    <w:rsid w:val="00DF5221"/>
    <w:rsid w:val="00E3642B"/>
    <w:rsid w:val="00E51E73"/>
    <w:rsid w:val="00E620D6"/>
    <w:rsid w:val="00E80BF8"/>
    <w:rsid w:val="00EB7E8C"/>
    <w:rsid w:val="00EE79BC"/>
    <w:rsid w:val="00F17F91"/>
    <w:rsid w:val="00F55BD1"/>
    <w:rsid w:val="00F6024D"/>
    <w:rsid w:val="00F82CDA"/>
    <w:rsid w:val="00F8550A"/>
    <w:rsid w:val="00FD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A186-7DB6-4581-BC8F-D7FD0B14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dc:creator>
  <cp:lastModifiedBy>kgu</cp:lastModifiedBy>
  <cp:revision>3</cp:revision>
  <dcterms:created xsi:type="dcterms:W3CDTF">2020-02-26T05:09:00Z</dcterms:created>
  <dcterms:modified xsi:type="dcterms:W3CDTF">2020-02-26T05:09:00Z</dcterms:modified>
</cp:coreProperties>
</file>