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92" w:rsidRPr="00017992" w:rsidRDefault="00017992" w:rsidP="00017992">
      <w:pPr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tbl>
      <w:tblPr>
        <w:tblpPr w:leftFromText="180" w:rightFromText="180" w:horzAnchor="margin" w:tblpY="509"/>
        <w:tblW w:w="485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3"/>
        <w:gridCol w:w="4785"/>
      </w:tblGrid>
      <w:tr w:rsidR="00017992" w:rsidRPr="00017992" w:rsidTr="00017992"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:rsidR="00017992" w:rsidRPr="00017992" w:rsidRDefault="00017992" w:rsidP="000179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Қостанай мемлекеттік</w:t>
            </w:r>
          </w:p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университеті» РМК</w:t>
            </w:r>
          </w:p>
        </w:tc>
        <w:tc>
          <w:tcPr>
            <w:tcW w:w="25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РГП «Костанайский государственный университет имени А.Байтурсынова»</w:t>
            </w:r>
          </w:p>
        </w:tc>
      </w:tr>
      <w:tr w:rsidR="00017992" w:rsidRPr="00017992" w:rsidTr="00017992"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0179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ind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0179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017992" w:rsidRPr="00017992" w:rsidTr="00017992"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179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АНЫҚТАМА</w:t>
            </w:r>
          </w:p>
        </w:tc>
        <w:tc>
          <w:tcPr>
            <w:tcW w:w="25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179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017992" w:rsidRPr="00017992" w:rsidTr="00017992"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79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ғылыми  кеңес отырысына</w:t>
            </w:r>
          </w:p>
        </w:tc>
        <w:tc>
          <w:tcPr>
            <w:tcW w:w="25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tabs>
                <w:tab w:val="left" w:pos="102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799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на заседание ученого совета</w:t>
            </w:r>
          </w:p>
        </w:tc>
      </w:tr>
      <w:tr w:rsidR="00017992" w:rsidRPr="00017992" w:rsidTr="00017992"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ind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31</w:t>
            </w: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.01.2020</w:t>
            </w: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5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31.01.2020 г.</w:t>
            </w:r>
          </w:p>
        </w:tc>
      </w:tr>
      <w:tr w:rsidR="00017992" w:rsidRPr="00017992" w:rsidTr="00017992">
        <w:tc>
          <w:tcPr>
            <w:tcW w:w="24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Қостанай қаласы</w:t>
            </w:r>
          </w:p>
        </w:tc>
        <w:tc>
          <w:tcPr>
            <w:tcW w:w="25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992" w:rsidRPr="00017992" w:rsidRDefault="00017992" w:rsidP="00017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01799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город Костанай</w:t>
            </w:r>
          </w:p>
        </w:tc>
      </w:tr>
    </w:tbl>
    <w:p w:rsidR="00017992" w:rsidRDefault="00017992" w:rsidP="00017992">
      <w:pPr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017992" w:rsidRDefault="00017992" w:rsidP="00017992">
      <w:pPr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017992" w:rsidRPr="000736B0" w:rsidRDefault="000736B0" w:rsidP="000736B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736B0">
        <w:rPr>
          <w:rFonts w:ascii="Times New Roman" w:hAnsi="Times New Roman" w:cs="Times New Roman"/>
          <w:b/>
          <w:i/>
          <w:sz w:val="28"/>
          <w:szCs w:val="28"/>
          <w:lang w:val="kk-KZ"/>
        </w:rPr>
        <w:t>Об управлении финансовыми рисками и механизмах оценки достаточности финансового обеспечения различных видов деятельности, в том числе Плана развития университета, развития ОП и научных проектов</w:t>
      </w:r>
    </w:p>
    <w:p w:rsidR="000736B0" w:rsidRDefault="000736B0" w:rsidP="0001799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736B0" w:rsidRPr="00017992" w:rsidRDefault="000736B0" w:rsidP="00017992">
      <w:pPr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6C7379" w:rsidRPr="00017992" w:rsidRDefault="00EF3FE9" w:rsidP="0001799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992">
        <w:rPr>
          <w:rFonts w:ascii="Times New Roman" w:hAnsi="Times New Roman" w:cs="Times New Roman"/>
          <w:color w:val="212529"/>
          <w:sz w:val="28"/>
          <w:szCs w:val="28"/>
        </w:rPr>
        <w:t>Доходная часть высшего учебного заведения в основном состоит из таких статей, как оплата за обучение учащимися, выигранные гранты по научным исследованиям, правитель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>ственные трансферты по оплате учащихся за счет государства.</w:t>
      </w:r>
      <w:r w:rsidR="006C7379" w:rsidRPr="00017992">
        <w:rPr>
          <w:rFonts w:ascii="Times New Roman" w:eastAsia="Calibri" w:hAnsi="Times New Roman" w:cs="Times New Roman"/>
          <w:sz w:val="28"/>
          <w:szCs w:val="28"/>
        </w:rPr>
        <w:t xml:space="preserve"> Структура доходов за 2019 год выглядит следующим образом: </w:t>
      </w:r>
    </w:p>
    <w:p w:rsidR="006C7379" w:rsidRPr="00017992" w:rsidRDefault="006C7379" w:rsidP="0001799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>доходы от основной деятельности – 88,9%,</w:t>
      </w:r>
    </w:p>
    <w:p w:rsidR="006C7379" w:rsidRPr="00017992" w:rsidRDefault="006C7379" w:rsidP="0001799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 xml:space="preserve"> научно-исследовательские работы – 7,9 %;</w:t>
      </w:r>
    </w:p>
    <w:p w:rsidR="006C7379" w:rsidRPr="00017992" w:rsidRDefault="006C7379" w:rsidP="0001799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>доходы от неосновной деятельности – 3,2 %.</w:t>
      </w:r>
    </w:p>
    <w:p w:rsidR="00A004B6" w:rsidRPr="00017992" w:rsidRDefault="008A7D06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 xml:space="preserve">Для достижения лучшего финансового результата необходимо диверсифицировать доходную часть бюджета согласно ГПРОН. По данной программе планируется увеличение </w:t>
      </w:r>
      <w:proofErr w:type="spellStart"/>
      <w:r w:rsidRPr="00017992">
        <w:rPr>
          <w:rFonts w:ascii="Times New Roman" w:eastAsia="Calibri" w:hAnsi="Times New Roman" w:cs="Times New Roman"/>
          <w:sz w:val="28"/>
          <w:szCs w:val="28"/>
        </w:rPr>
        <w:t>грантового</w:t>
      </w:r>
      <w:proofErr w:type="spellEnd"/>
      <w:r w:rsidRPr="0001799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17992">
        <w:rPr>
          <w:rFonts w:ascii="Times New Roman" w:eastAsia="Calibri" w:hAnsi="Times New Roman" w:cs="Times New Roman"/>
          <w:sz w:val="28"/>
          <w:szCs w:val="28"/>
        </w:rPr>
        <w:t>програмно</w:t>
      </w:r>
      <w:proofErr w:type="spellEnd"/>
      <w:r w:rsidRPr="00017992">
        <w:rPr>
          <w:rFonts w:ascii="Times New Roman" w:eastAsia="Calibri" w:hAnsi="Times New Roman" w:cs="Times New Roman"/>
          <w:sz w:val="28"/>
          <w:szCs w:val="28"/>
        </w:rPr>
        <w:t>-целевого финансирования НИР, привлечение молодых ученых</w:t>
      </w:r>
      <w:r w:rsidR="004D3E77" w:rsidRPr="000179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3E77" w:rsidRPr="00017992">
        <w:rPr>
          <w:rFonts w:ascii="Times New Roman" w:hAnsi="Times New Roman" w:cs="Times New Roman"/>
          <w:color w:val="000000"/>
          <w:sz w:val="28"/>
          <w:szCs w:val="28"/>
        </w:rPr>
        <w:t>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(дифференцированные гранты; бюджетирование, ориентированное на результат, кредитно-</w:t>
      </w:r>
      <w:proofErr w:type="spellStart"/>
      <w:r w:rsidR="004D3E77" w:rsidRPr="00017992">
        <w:rPr>
          <w:rFonts w:ascii="Times New Roman" w:hAnsi="Times New Roman" w:cs="Times New Roman"/>
          <w:color w:val="000000"/>
          <w:sz w:val="28"/>
          <w:szCs w:val="28"/>
        </w:rPr>
        <w:t>подушевое</w:t>
      </w:r>
      <w:proofErr w:type="spellEnd"/>
      <w:r w:rsidR="004D3E77" w:rsidRPr="00017992"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финансирование). Предусматривается повышение стоимости государственного заказа, а также переход к </w:t>
      </w:r>
      <w:proofErr w:type="spellStart"/>
      <w:r w:rsidR="004D3E77" w:rsidRPr="00017992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="004D3E77" w:rsidRPr="00017992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</w:t>
      </w:r>
      <w:proofErr w:type="spellStart"/>
      <w:r w:rsidR="004D3E77" w:rsidRPr="00017992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proofErr w:type="spellEnd"/>
      <w:r w:rsidR="004D3E77" w:rsidRPr="0001799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</w:t>
      </w:r>
      <w:r w:rsidR="00A004B6" w:rsidRPr="00017992">
        <w:rPr>
          <w:rFonts w:ascii="Times New Roman" w:hAnsi="Times New Roman" w:cs="Times New Roman"/>
          <w:color w:val="000000"/>
          <w:sz w:val="28"/>
          <w:szCs w:val="28"/>
        </w:rPr>
        <w:t>. В связи с увеличением стоимости гранта нам нужно особое внимание уделить увеличению контингент</w:t>
      </w:r>
      <w:proofErr w:type="gramStart"/>
      <w:r w:rsidR="00A004B6" w:rsidRPr="00017992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A004B6" w:rsidRPr="00017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04B6" w:rsidRPr="00017992">
        <w:rPr>
          <w:rFonts w:ascii="Times New Roman" w:hAnsi="Times New Roman" w:cs="Times New Roman"/>
          <w:color w:val="000000"/>
          <w:sz w:val="28"/>
          <w:szCs w:val="28"/>
        </w:rPr>
        <w:t>грантников</w:t>
      </w:r>
      <w:proofErr w:type="spellEnd"/>
      <w:r w:rsidR="00A004B6" w:rsidRPr="00017992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повышение качества образования, предотвращение их отчисления, трудоустройство (начав работать на последних курсах- студент может продолжить работу после окончания).Эти показатели будут влиять на выделение грантов. </w:t>
      </w:r>
    </w:p>
    <w:p w:rsidR="00A004B6" w:rsidRPr="00017992" w:rsidRDefault="00A004B6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992">
        <w:rPr>
          <w:rFonts w:ascii="Times New Roman" w:hAnsi="Times New Roman" w:cs="Times New Roman"/>
          <w:color w:val="000000"/>
          <w:sz w:val="28"/>
          <w:szCs w:val="28"/>
        </w:rPr>
        <w:t>При переходе в НАО, если МОН утвердит в уставе занятие другими видами деятельности, мы можем развивать потенциал в развитии других видов деятельности, таких как:</w:t>
      </w:r>
    </w:p>
    <w:p w:rsidR="00A004B6" w:rsidRPr="00017992" w:rsidRDefault="00A004B6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99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выполнение работ сторонним лицам и организациям пластиковым цехом, цехом металлоконструкций</w:t>
      </w:r>
    </w:p>
    <w:p w:rsidR="00A004B6" w:rsidRPr="00017992" w:rsidRDefault="00A004B6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992">
        <w:rPr>
          <w:rFonts w:ascii="Times New Roman" w:hAnsi="Times New Roman" w:cs="Times New Roman"/>
          <w:color w:val="000000"/>
          <w:sz w:val="28"/>
          <w:szCs w:val="28"/>
        </w:rPr>
        <w:t>- оказание юридических услуг</w:t>
      </w:r>
    </w:p>
    <w:p w:rsidR="00A004B6" w:rsidRPr="00017992" w:rsidRDefault="00A004B6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992">
        <w:rPr>
          <w:rFonts w:ascii="Times New Roman" w:hAnsi="Times New Roman" w:cs="Times New Roman"/>
          <w:color w:val="000000"/>
          <w:sz w:val="28"/>
          <w:szCs w:val="28"/>
        </w:rPr>
        <w:t>- сертификация специалистов 1С, бухгалтеров</w:t>
      </w:r>
    </w:p>
    <w:p w:rsidR="004D3E77" w:rsidRPr="00017992" w:rsidRDefault="00A004B6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1799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3FE9" w:rsidRPr="0001799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17992">
        <w:rPr>
          <w:rFonts w:ascii="Times New Roman" w:hAnsi="Times New Roman" w:cs="Times New Roman"/>
          <w:color w:val="212529"/>
          <w:sz w:val="28"/>
          <w:szCs w:val="28"/>
        </w:rPr>
        <w:t>ветклиника</w:t>
      </w:r>
      <w:proofErr w:type="spellEnd"/>
    </w:p>
    <w:p w:rsidR="00A004B6" w:rsidRPr="00017992" w:rsidRDefault="00A004B6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17992">
        <w:rPr>
          <w:rFonts w:ascii="Times New Roman" w:hAnsi="Times New Roman" w:cs="Times New Roman"/>
          <w:color w:val="212529"/>
          <w:sz w:val="28"/>
          <w:szCs w:val="28"/>
        </w:rPr>
        <w:t>- увеличение охвата курсами повышения квалификации, языковыми курсами.</w:t>
      </w:r>
    </w:p>
    <w:p w:rsidR="00C64DCD" w:rsidRPr="00017992" w:rsidRDefault="00EF3FE9" w:rsidP="000179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17992">
        <w:rPr>
          <w:rFonts w:ascii="Times New Roman" w:hAnsi="Times New Roman" w:cs="Times New Roman"/>
          <w:color w:val="212529"/>
          <w:sz w:val="28"/>
          <w:szCs w:val="28"/>
        </w:rPr>
        <w:t>Однако при несбалансированном использовании данных ресурсов, возможны существенные проблемы в бесперебойном функционировании высше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>го учебного заведения. Так, например, в случае если высшее учебное заведение направит значи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>тельные финансовые средства на отдельные ста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>тьи затрат при отсутствии финансового анализа, а также анализа функционирования вуза в не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>благоприятных условиях нехватки финансовых ресурсов, возможны неблагоприятные сценарии функционирования всего вуза. Ведь при обнов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>лении материально-технической базы вуза необ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>ходимо учитывать такие риск, как увеличение сметной стоимости затрат на закупаемые товары и услуги, а так же возможные перебои поступле</w:t>
      </w:r>
      <w:r w:rsidRPr="00017992">
        <w:rPr>
          <w:rFonts w:ascii="Times New Roman" w:hAnsi="Times New Roman" w:cs="Times New Roman"/>
          <w:color w:val="212529"/>
          <w:sz w:val="28"/>
          <w:szCs w:val="28"/>
        </w:rPr>
        <w:softHyphen/>
        <w:t xml:space="preserve">ния финансовых средств. </w:t>
      </w:r>
    </w:p>
    <w:p w:rsidR="003B5FC0" w:rsidRPr="00017992" w:rsidRDefault="003B5FC0" w:rsidP="00017992">
      <w:pPr>
        <w:ind w:firstLine="567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 xml:space="preserve">Основным риском при реализации стратегии университета является высокая зависимость от контингента. Все нормативы финансирования привязаны к контингенту: количество штатных единиц сотрудников, пополнение материально-технической базы и прочие. В связи с этим в годы финансового спада происходит необходимое сокращение штата сотрудников, расходов на приобретение ТМЦ. В </w:t>
      </w:r>
      <w:r w:rsidR="004D5374" w:rsidRPr="00017992">
        <w:rPr>
          <w:rFonts w:ascii="Times New Roman" w:eastAsia="Calibri" w:hAnsi="Times New Roman" w:cs="Times New Roman"/>
          <w:sz w:val="28"/>
          <w:szCs w:val="28"/>
        </w:rPr>
        <w:t>настоящее время</w:t>
      </w:r>
      <w:r w:rsidRPr="00017992">
        <w:rPr>
          <w:rFonts w:ascii="Times New Roman" w:eastAsia="Calibri" w:hAnsi="Times New Roman" w:cs="Times New Roman"/>
          <w:sz w:val="28"/>
          <w:szCs w:val="28"/>
        </w:rPr>
        <w:t xml:space="preserve"> необходима жесткая экономия по всем расходным статьям и бережное отношение к имеющимся в наличии материальным ресурсам вуза.</w:t>
      </w:r>
      <w:r w:rsidR="004D5374" w:rsidRPr="00017992">
        <w:rPr>
          <w:rFonts w:ascii="Times New Roman" w:eastAsia="Calibri" w:hAnsi="Times New Roman" w:cs="Times New Roman"/>
          <w:sz w:val="28"/>
          <w:szCs w:val="28"/>
        </w:rPr>
        <w:t xml:space="preserve"> К сожалению, на сегодняшний день, наблюдается тенденция к снижению контингента обучающихся: если на 1 сентября общее количество студентов составляло</w:t>
      </w:r>
      <w:r w:rsidR="004D5374" w:rsidRPr="000179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9201F" w:rsidRPr="000179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4479</w:t>
      </w:r>
      <w:r w:rsidR="004D5374" w:rsidRPr="000179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человек, на </w:t>
      </w:r>
      <w:r w:rsidR="0019201F" w:rsidRPr="000179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25.12.2020г.</w:t>
      </w:r>
      <w:r w:rsidR="004D5374" w:rsidRPr="000179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9201F" w:rsidRPr="000179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4453</w:t>
      </w:r>
      <w:r w:rsidR="004D5374" w:rsidRPr="000179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</w:t>
      </w:r>
      <w:r w:rsidR="004D5374" w:rsidRPr="00017992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.</w:t>
      </w:r>
    </w:p>
    <w:p w:rsidR="003B5FC0" w:rsidRPr="00017992" w:rsidRDefault="003B5FC0" w:rsidP="0001799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>Финансовый риск связан с возможностью невыполнения предприятием своих финансовых обязательств. Основными причинами финансового риска являются: снижение финансирования за счет бюджетных средств и неосуществления платежей по платному обучению.</w:t>
      </w:r>
    </w:p>
    <w:p w:rsidR="003B5FC0" w:rsidRPr="00017992" w:rsidRDefault="003B5FC0" w:rsidP="0001799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>В состав основных финансовых инструментов университета входят денежные средства и их эквиваленты. Указанные финансовые инструменты главным образом используются для привлечения финансирования хозяйственной деятельности. Основные риски, связанные с финансовыми инструментами: риск ликвидности, кредитный риск и валютный риск.</w:t>
      </w:r>
    </w:p>
    <w:p w:rsidR="003B5FC0" w:rsidRPr="00017992" w:rsidRDefault="003B5FC0" w:rsidP="0001799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992">
        <w:rPr>
          <w:rFonts w:ascii="Times New Roman" w:eastAsia="Calibri" w:hAnsi="Times New Roman" w:cs="Times New Roman"/>
          <w:sz w:val="28"/>
          <w:szCs w:val="28"/>
        </w:rPr>
        <w:t>Кредитный риск-это риск того, что вуз понесет финансовые убытки, поскольку студенты не выполняют свои обязательства по клиентскому договору. Предприятие подвержено кредитному риску, связанному  с ее операционной деятельностью (прежде всего, в отношении дебиторской задолженности студентов по коммерческому обучению) Осуществляется регулярный мониторинг непогашенной дебит</w:t>
      </w:r>
      <w:r w:rsidR="00205F85" w:rsidRPr="00017992">
        <w:rPr>
          <w:rFonts w:ascii="Times New Roman" w:eastAsia="Calibri" w:hAnsi="Times New Roman" w:cs="Times New Roman"/>
          <w:sz w:val="28"/>
          <w:szCs w:val="28"/>
        </w:rPr>
        <w:t>орской задолженности студентов, однако проблема непогашения задолженности остается.</w:t>
      </w:r>
    </w:p>
    <w:p w:rsidR="00995347" w:rsidRPr="00017992" w:rsidRDefault="00E173C5" w:rsidP="0001799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законом РК от 01 марта 2011 года «О государственном имуществе» финансово-хозяйственная деятельность государственных предприятий регулируется пятилетними и ежегодными планами развития. </w:t>
      </w:r>
      <w:proofErr w:type="gramStart"/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составлению и исполнению планов развития осуществляется в соответствии с </w:t>
      </w:r>
      <w:r w:rsidR="004D5374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национальной экономики РК от 14 февраля 2019 года №14 «Об утверждении п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разработки, утверждения планов развития контролируемых государством акционерных обществ, товариществ </w:t>
      </w:r>
      <w:r w:rsidR="004D5374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ответственностью,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предприятий, мониторинга и оценки их реализации,</w:t>
      </w:r>
      <w:r w:rsidR="004D5374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разработки и представления отчетов по их исполнению»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Ежегодные планы развития согласовываются с Наблюдательным советом и утверждаются Министерством образования и науки РК. </w:t>
      </w:r>
    </w:p>
    <w:p w:rsidR="00C64DCD" w:rsidRPr="00017992" w:rsidRDefault="00205F85" w:rsidP="00017992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формирования плана развития должны быть задействованы все подразделения университета, так как в нем отражаются все </w:t>
      </w:r>
      <w:r w:rsidR="00277FD2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деятельности вуза, которые показаны на слайде</w:t>
      </w:r>
      <w:r w:rsidR="00485F0A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2208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запрашиваемы</w:t>
      </w:r>
      <w:r w:rsidR="002A1134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данными Департаментом внутрен</w:t>
      </w:r>
      <w:r w:rsidR="002B2208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аудита МОН РК необходимо </w:t>
      </w:r>
      <w:r w:rsidR="00CA1811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информации по подразделениям университета. Также для прозрачного </w:t>
      </w:r>
      <w:r w:rsidR="005C648E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денежных средств каждое подразделение должно знать о </w:t>
      </w:r>
      <w:r w:rsidR="00CA1811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48E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 w:rsidR="00CA1811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5C648E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A1811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</w:t>
      </w:r>
      <w:r w:rsidR="005C648E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для чего должно быть планирование доходов и расходов, что и отражается в плане развития, а в дальнейшем в отчете по исполнению плана развития.</w:t>
      </w:r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вышеизложенного </w:t>
      </w:r>
      <w:proofErr w:type="spellStart"/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УЭФиБУ</w:t>
      </w:r>
      <w:proofErr w:type="spellEnd"/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на утверждение ученого совета Положение «Формирование плана развития, отчета по исполнению плана развития» согласно которого подразделениям вуза необходимо составить свой мини план развития. Например: У нас в университете 5 институтов. Каждый институт с помощью </w:t>
      </w:r>
      <w:proofErr w:type="spellStart"/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УЭФиБУ</w:t>
      </w:r>
      <w:proofErr w:type="spellEnd"/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свои доход</w:t>
      </w:r>
      <w:proofErr w:type="gramStart"/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</w:t>
      </w:r>
      <w:r w:rsidR="0006218B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64DCD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образовательная деятельность- то по контингенту обучающихся, институт фундаментальных исследований –по планируемым договорам и соглашениям, а также расходную часть: заработная плата с отчислениями и платежами в бюджет, </w:t>
      </w:r>
      <w:r w:rsidR="00C64DCD" w:rsidRPr="00017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финансирование соответствующих мероприятий, приобретения тех или иных работ, товаров и услуг, а также проведения текущих расходов обязательного характера, с учетом размеров и сроков финансирования.</w:t>
      </w:r>
    </w:p>
    <w:p w:rsidR="00205F85" w:rsidRPr="00017992" w:rsidRDefault="00AE4BAA" w:rsidP="0001799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все «мини» планы развития формируются в один общий план развития</w:t>
      </w:r>
      <w:r w:rsidR="0006218B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 истечении года формируется отчет по исполнению плана развития. Тогда каждое подразделение будет видеть свои доходы и расходы, знать конечный финансовый результат, контролировать возникновение возможных рисков.  Для формирования планов и отчетов в каждом подразделении нужно выделить ответственного, который будет совместно с сотрудниками </w:t>
      </w:r>
      <w:proofErr w:type="spellStart"/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УЭФиБУ</w:t>
      </w:r>
      <w:proofErr w:type="spellEnd"/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работу в заданном направлении. Я понимаю, что это дополнительная нагрузка на работников, но это необходимость, которая диктуется временем.  </w:t>
      </w:r>
    </w:p>
    <w:p w:rsidR="00AE4BAA" w:rsidRPr="00017992" w:rsidRDefault="00AE4BAA" w:rsidP="0001799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плана развития, корректировках и сдаче отчета по исполнению плана развития в МОН РК мы испытываем трудность, так как дается </w:t>
      </w:r>
      <w:r w:rsidR="007F3146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обходной </w:t>
      </w:r>
      <w:r w:rsidR="000F507B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F3146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gramStart"/>
      <w:r w:rsidR="007F3146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получить </w:t>
      </w:r>
      <w:r w:rsidR="005C60BC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14-16 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51B66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="005C60BC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51B66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</w:t>
      </w:r>
      <w:r w:rsidR="00751B66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департаментов</w:t>
      </w:r>
      <w:r w:rsidR="005C60BC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управлений</w:t>
      </w:r>
      <w:r w:rsidR="00751B66"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B66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стратегического планирования и развития, </w:t>
      </w:r>
      <w:r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ДВПО</w:t>
      </w:r>
      <w:r w:rsidR="005C60BC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несколько кабинетов</w:t>
      </w:r>
      <w:r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C60BC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Департамент финансов, управление государственными активами</w:t>
      </w:r>
      <w:r w:rsidR="00D960E4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которые стекается информация со всего вуза. Мы, как правило отправляем 1 человек</w:t>
      </w:r>
      <w:proofErr w:type="gramStart"/>
      <w:r w:rsidR="00D960E4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="00D960E4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у нас Нугманова А.И.</w:t>
      </w:r>
      <w:r w:rsidR="00DD50D2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0E4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сдает отчет по 2-3 дня, тогда как другие вузы приезжают по 3 человека: экономист или бухгалтер, с отдела стратегии, с учебного отдела. МОН рекомендует для оперативной сдачи отправлять не 1 человека, который физически не может владеть информацией </w:t>
      </w:r>
      <w:proofErr w:type="gramStart"/>
      <w:r w:rsidR="00D960E4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D960E4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всем вузе,  а 3 </w:t>
      </w:r>
      <w:r w:rsidR="005C60BC"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человека с разных подразделений, хорошо владеющих информацией.</w:t>
      </w:r>
    </w:p>
    <w:p w:rsidR="00D960E4" w:rsidRPr="00017992" w:rsidRDefault="00D960E4" w:rsidP="0001799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Предложения:</w:t>
      </w:r>
    </w:p>
    <w:p w:rsidR="00D960E4" w:rsidRPr="00017992" w:rsidRDefault="00D960E4" w:rsidP="00017992">
      <w:pPr>
        <w:pStyle w:val="a6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«Формирование плана развития, отчета по исполнению плана развития»</w:t>
      </w:r>
    </w:p>
    <w:p w:rsidR="00D960E4" w:rsidRPr="00017992" w:rsidRDefault="00D960E4" w:rsidP="00017992">
      <w:pPr>
        <w:pStyle w:val="a6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ответственных лиц  за формирование плана развития и отчета по исполнению плана развития в подразделениях университета.</w:t>
      </w:r>
    </w:p>
    <w:p w:rsidR="00720EDB" w:rsidRPr="00017992" w:rsidRDefault="00720EDB" w:rsidP="00017992">
      <w:pPr>
        <w:pStyle w:val="a6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планы развития на 2020 год по структурным подразделениям университета.</w:t>
      </w:r>
    </w:p>
    <w:p w:rsidR="00464481" w:rsidRPr="00017992" w:rsidRDefault="00464481" w:rsidP="00017992">
      <w:pPr>
        <w:pStyle w:val="a6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648E" w:rsidRPr="00017992" w:rsidRDefault="005C648E" w:rsidP="0001799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FD2" w:rsidRPr="000736B0" w:rsidRDefault="000736B0" w:rsidP="0001799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proofErr w:type="spellStart"/>
      <w:r w:rsidRPr="0007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УФЭиБУ</w:t>
      </w:r>
      <w:proofErr w:type="spellEnd"/>
      <w:r w:rsidRPr="0007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Pr="0007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Макжанова</w:t>
      </w:r>
      <w:proofErr w:type="spellEnd"/>
      <w:r w:rsidRPr="0007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</w:t>
      </w:r>
      <w:proofErr w:type="spellEnd"/>
      <w:r w:rsidRPr="0007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277FD2" w:rsidRPr="0007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BF9"/>
    <w:multiLevelType w:val="hybridMultilevel"/>
    <w:tmpl w:val="D5D4DABE"/>
    <w:lvl w:ilvl="0" w:tplc="979CB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921762"/>
    <w:multiLevelType w:val="hybridMultilevel"/>
    <w:tmpl w:val="A0FA14AC"/>
    <w:lvl w:ilvl="0" w:tplc="ADBA662E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D"/>
    <w:rsid w:val="00017992"/>
    <w:rsid w:val="0006218B"/>
    <w:rsid w:val="000736B0"/>
    <w:rsid w:val="000F507B"/>
    <w:rsid w:val="00163224"/>
    <w:rsid w:val="0019201F"/>
    <w:rsid w:val="00205F85"/>
    <w:rsid w:val="00277FD2"/>
    <w:rsid w:val="002A1134"/>
    <w:rsid w:val="002B2208"/>
    <w:rsid w:val="0038318D"/>
    <w:rsid w:val="003B5FC0"/>
    <w:rsid w:val="00464481"/>
    <w:rsid w:val="00485F0A"/>
    <w:rsid w:val="004D3E77"/>
    <w:rsid w:val="004D5374"/>
    <w:rsid w:val="00510108"/>
    <w:rsid w:val="005C60BC"/>
    <w:rsid w:val="005C648E"/>
    <w:rsid w:val="005F156A"/>
    <w:rsid w:val="006C7379"/>
    <w:rsid w:val="00720EDB"/>
    <w:rsid w:val="00751B66"/>
    <w:rsid w:val="007E75A3"/>
    <w:rsid w:val="007F3146"/>
    <w:rsid w:val="00831A5D"/>
    <w:rsid w:val="008A7D06"/>
    <w:rsid w:val="008F3567"/>
    <w:rsid w:val="00995347"/>
    <w:rsid w:val="00A004B6"/>
    <w:rsid w:val="00AE4BAA"/>
    <w:rsid w:val="00AF4037"/>
    <w:rsid w:val="00C64DCD"/>
    <w:rsid w:val="00CA1811"/>
    <w:rsid w:val="00CB4C44"/>
    <w:rsid w:val="00D419D0"/>
    <w:rsid w:val="00D960E4"/>
    <w:rsid w:val="00DD11FE"/>
    <w:rsid w:val="00DD50D2"/>
    <w:rsid w:val="00E173C5"/>
    <w:rsid w:val="00E4359F"/>
    <w:rsid w:val="00EF3FE9"/>
    <w:rsid w:val="00F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3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3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kgu</cp:lastModifiedBy>
  <cp:revision>18</cp:revision>
  <cp:lastPrinted>2020-02-03T03:22:00Z</cp:lastPrinted>
  <dcterms:created xsi:type="dcterms:W3CDTF">2020-01-14T03:01:00Z</dcterms:created>
  <dcterms:modified xsi:type="dcterms:W3CDTF">2020-02-03T03:23:00Z</dcterms:modified>
</cp:coreProperties>
</file>