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Y="1"/>
        <w:tblOverlap w:val="nev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977"/>
        <w:gridCol w:w="3402"/>
      </w:tblGrid>
      <w:tr w:rsidR="006D6F9D" w:rsidTr="003D635A">
        <w:trPr>
          <w:trHeight w:val="2585"/>
        </w:trPr>
        <w:tc>
          <w:tcPr>
            <w:tcW w:w="3085" w:type="dxa"/>
          </w:tcPr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А. Байтұрсынов атындағы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Қостанай мемлекеттік университеті</w:t>
            </w: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РМК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АНЫҚТАМА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6D6F9D" w:rsidRPr="00FA722E" w:rsidRDefault="00FA722E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Ғ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ылыми кеңес</w:t>
            </w:r>
          </w:p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о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тырысына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23.11.2018 ж.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Қостанай қ.</w:t>
            </w:r>
          </w:p>
        </w:tc>
        <w:tc>
          <w:tcPr>
            <w:tcW w:w="2977" w:type="dxa"/>
          </w:tcPr>
          <w:p w:rsidR="006D6F9D" w:rsidRPr="00FA722E" w:rsidRDefault="006D6F9D" w:rsidP="006D6F9D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РГП 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Костанайский</w:t>
            </w:r>
            <w:proofErr w:type="spellEnd"/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 xml:space="preserve"> государственный университет</w:t>
            </w:r>
          </w:p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и</w:t>
            </w:r>
            <w:proofErr w:type="spellStart"/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мени</w:t>
            </w:r>
            <w:proofErr w:type="spellEnd"/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А. Байтурсынова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  <w:lang w:val="kk-KZ"/>
              </w:rPr>
              <w:t>СПРАВКА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3D635A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на заседание</w:t>
            </w:r>
          </w:p>
          <w:p w:rsidR="003D635A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ученого совета</w:t>
            </w:r>
          </w:p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23.11.2018 г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.</w:t>
            </w:r>
          </w:p>
          <w:p w:rsidR="006D6F9D" w:rsidRPr="00FA722E" w:rsidRDefault="006D6F9D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</w:pPr>
          </w:p>
          <w:p w:rsidR="006D6F9D" w:rsidRPr="00FA722E" w:rsidRDefault="003D635A" w:rsidP="00CA5CB6">
            <w:pPr>
              <w:jc w:val="center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г. К</w:t>
            </w:r>
            <w:r w:rsidR="006D6F9D" w:rsidRPr="00FA722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kk-KZ"/>
              </w:rPr>
              <w:t>останай</w:t>
            </w:r>
          </w:p>
        </w:tc>
      </w:tr>
    </w:tbl>
    <w:p w:rsidR="006D6F9D" w:rsidRPr="00FA722E" w:rsidRDefault="006D6F9D" w:rsidP="00783DF9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3D635A" w:rsidRPr="00FA722E" w:rsidRDefault="003D635A" w:rsidP="003D635A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FA722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«Серпін-2050» бағдарламасы түлектерін жұмысқа орналастыру туралы</w:t>
      </w:r>
    </w:p>
    <w:p w:rsidR="00783DF9" w:rsidRPr="00FA722E" w:rsidRDefault="003D635A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</w:t>
      </w:r>
      <w:r w:rsidR="00ED0BF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Елімізде жастардың сапалы білім алуына мол мүмкіндік беріп отырған «Серпін-2050» </w:t>
      </w:r>
      <w:r w:rsidR="00FA722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әлуметтік </w:t>
      </w:r>
      <w:r w:rsidR="00ED0BF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жобасы Елбасымыз Нұрсұлтан Әбішұлының тапсырмасымен 2014 жылдан бері жүзеге асырылып келеді. </w:t>
      </w:r>
      <w:r w:rsidR="00FA722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Бүгінгі «Мәңгілік Ел Жастары – индустрияға» Мемлекеттік бағдарламасы осы бір бастамаға үндеу қосып, барынша жастарға қолдау көрсету болып табылады. </w:t>
      </w:r>
      <w:r w:rsidR="00ED0BF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Аталған жобаның мақсаты -  жастарды халқы аз қоныстанған және еңбек күшін қажет ететін солтүстік аймақтардағы жоғары және кәсіптік-техникалық оқу орындарына о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рналастыру және жұмыспен қамту,</w:t>
      </w:r>
      <w:r w:rsidR="00783DF9" w:rsidRPr="00FA722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осы бағдарлама бойынша біздің университетте </w:t>
      </w:r>
      <w:r w:rsidR="00FA722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қазіргі таңда 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инженерлік-техникалық, ақпараттық, аграрлық және ветеринарлық бағыттағы 14 мамандық бойынша 647 студент білім алуда. </w:t>
      </w:r>
    </w:p>
    <w:p w:rsidR="00185C88" w:rsidRDefault="004E163D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2019 жылы 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біздің оқу орында 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"Серпін - 2050"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бағ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дарламасының алғашқы шығарылымы, яғни </w:t>
      </w:r>
      <w:r w:rsidR="00FA722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3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14</w:t>
      </w:r>
      <w:r w:rsidR="00FA722E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түле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гі оқуларын тәмәмдайды. Әрине олардың ішінде әрі қарай білімдерін шындайтын, магистратураға түсетін және отбасы құру мәселесімен </w:t>
      </w:r>
      <w:r w:rsidR="00185C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жұмысты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қажет етпитін студенттер бар. Дегенмен</w:t>
      </w:r>
      <w:r w:rsidR="00185C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биылғы түлектердің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басым көпшілігін </w:t>
      </w:r>
      <w:r w:rsidR="00185C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қызметке</w:t>
      </w:r>
      <w:r w:rsidR="007D167D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орналастыру міндеті </w:t>
      </w:r>
      <w:r w:rsidR="007D16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университет басшылығына жүктеліп ортыр.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</w:t>
      </w:r>
      <w:r w:rsidR="003F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азақстан Республикасы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</w:t>
      </w:r>
      <w:r w:rsid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ілім және ғылым министрлігі</w:t>
      </w:r>
      <w:r w:rsidR="00783DF9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Солтүстік аймақ шегінде (Қостанай облысында) бағдарламаға қатысушылардың көпшілігін жұмысқа орналастыруды талап етеді. </w:t>
      </w:r>
      <w:r w:rsidR="00185C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2018-2019 жылының басынан бастап университетте өткізіліп жатқан іс-шаралармен кездесулердің басым көпшілігі биылғы түлектерді жұмысқа орналастыру мәселесіне тікелей байланыситы екенін атап өткен жөн. Мысалы: </w:t>
      </w:r>
    </w:p>
    <w:p w:rsidR="00783DF9" w:rsidRDefault="00185C88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2018 жылдың 8 қараша</w:t>
      </w:r>
      <w:r w:rsid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сында </w:t>
      </w:r>
      <w:r w:rsidR="00D63B02" w:rsidRP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№2</w:t>
      </w:r>
      <w:r w:rsid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ғимараттың акт залында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185C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«Қостанай облысы әкімдігінің жұмыспен қамтуды үйлестіру және әлуметтік бағдарламалар басқармасы» мемлекеттік мекемесі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нің қызметкерлерімен кездесу</w:t>
      </w:r>
      <w:r w:rsid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өтті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; </w:t>
      </w:r>
    </w:p>
    <w:p w:rsidR="00D63B02" w:rsidRDefault="00D63B02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2018 жылдың 16 қарашасында Ветеринарлық және мал шаруашылығы факультетінің қабырғасында Солтүстік-Қазақстан және Қостанай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облыстарының жұмыс берушілерімен Республикалық </w:t>
      </w:r>
      <w:r w:rsidRP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Түлектерді жұмысқа орналастыру мәселесі, және шешу жолдары</w:t>
      </w:r>
      <w:r w:rsidRP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атты дөңгелек үстел ұйымдастырылды;</w:t>
      </w:r>
    </w:p>
    <w:p w:rsidR="00D63B02" w:rsidRDefault="00D63B02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2018 жылдың 23 қарашасында біздің университетте Облыс деңгейінде </w:t>
      </w:r>
      <w:r w:rsidRP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Бос орындар</w:t>
      </w:r>
      <w:r w:rsidRPr="00D63B0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жәрменкесі өтті. Бұл жәрменкеге </w:t>
      </w:r>
      <w:r w:rsidR="00787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биылғы түлектердің 100</w:t>
      </w:r>
      <w:r w:rsidR="007874FB" w:rsidRPr="00787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%</w:t>
      </w:r>
      <w:r w:rsidR="00787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қатысып,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Облысымыздың маңызды ұйымдар</w:t>
      </w:r>
      <w:r w:rsidR="007874F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ы атсалысты.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</w:p>
    <w:p w:rsidR="00FA722E" w:rsidRDefault="007874FB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Сонымен қатар университет факультеттерінің бек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і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т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ілген жоспарлары бойынша жылбойы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биылғы </w:t>
      </w:r>
      <w:r w:rsidR="004E163D"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«Серпін-2050» әлуметтік жоб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асының түлектерімен жұмысберушілері арасында көптеген кездесулермен іс-шаралар өткізіліп жатыр.</w:t>
      </w:r>
    </w:p>
    <w:p w:rsidR="003F44EA" w:rsidRPr="003F44EA" w:rsidRDefault="003F44EA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         Облысымыздың әр-түрлі ұйымдарында практикалық тәжірибе өткен </w:t>
      </w:r>
      <w:r w:rsidRPr="00FA722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«Серпін-2050»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бағдарламасымен білім алып жатқан 4-курс студенттерінің  30% - ы, сол мекемелермен шартқа отырып жұмысқа орналасуы мәселесін шешіп қойған. Дегенмен біздің біздің алдымыздағы басты мәселе қалған 70%-ды</w:t>
      </w:r>
      <w:r w:rsidR="00542EB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жұмысқа орналастыру. Біздің жүргізген статистикамызға назар аударыныздар.</w:t>
      </w:r>
    </w:p>
    <w:p w:rsidR="00FA722E" w:rsidRPr="00FA722E" w:rsidRDefault="00FA722E" w:rsidP="003D635A">
      <w:pPr>
        <w:spacing w:after="12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B13BDD" w:rsidRPr="00542EBA" w:rsidRDefault="00783DF9" w:rsidP="00542EBA">
      <w:pPr>
        <w:spacing w:after="12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</w:pPr>
      <w:r w:rsidRPr="00542E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Қазіргі уақытта</w:t>
      </w:r>
      <w:r w:rsidR="00FA722E" w:rsidRPr="00542E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 xml:space="preserve"> Ахмет Байтұрсынов атындағы ҚМУ-де 2019 жылғы түлектер туралы ақпарат</w:t>
      </w:r>
      <w:r w:rsidRPr="00542EB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kk-KZ"/>
        </w:rPr>
        <w:t>:</w:t>
      </w:r>
    </w:p>
    <w:tbl>
      <w:tblPr>
        <w:tblStyle w:val="a4"/>
        <w:tblW w:w="9983" w:type="dxa"/>
        <w:tblLook w:val="04A0" w:firstRow="1" w:lastRow="0" w:firstColumn="1" w:lastColumn="0" w:noHBand="0" w:noVBand="1"/>
      </w:tblPr>
      <w:tblGrid>
        <w:gridCol w:w="484"/>
        <w:gridCol w:w="1995"/>
        <w:gridCol w:w="1205"/>
        <w:gridCol w:w="1892"/>
        <w:gridCol w:w="1157"/>
        <w:gridCol w:w="1625"/>
        <w:gridCol w:w="1625"/>
      </w:tblGrid>
      <w:tr w:rsidR="001F7AFE" w:rsidRPr="00FA722E" w:rsidTr="00783DF9">
        <w:tc>
          <w:tcPr>
            <w:tcW w:w="484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1995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Факультет</w:t>
            </w:r>
          </w:p>
        </w:tc>
        <w:tc>
          <w:tcPr>
            <w:tcW w:w="1205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 саны</w:t>
            </w:r>
          </w:p>
          <w:p w:rsidR="00542EBA" w:rsidRP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P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2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Магистратура</w:t>
            </w:r>
          </w:p>
        </w:tc>
        <w:tc>
          <w:tcPr>
            <w:tcW w:w="1157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Тұрмыс құрған</w:t>
            </w:r>
          </w:p>
        </w:tc>
        <w:tc>
          <w:tcPr>
            <w:tcW w:w="1625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Жұмыспен қамтамасыз етілген</w:t>
            </w:r>
          </w:p>
        </w:tc>
        <w:tc>
          <w:tcPr>
            <w:tcW w:w="1625" w:type="dxa"/>
          </w:tcPr>
          <w:p w:rsidR="001F7AFE" w:rsidRPr="00542EBA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2EB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Жұмыспен қамтамасыз етілмеген</w:t>
            </w:r>
          </w:p>
        </w:tc>
      </w:tr>
      <w:tr w:rsidR="001F7AFE" w:rsidRPr="00FA722E" w:rsidTr="00783DF9">
        <w:tc>
          <w:tcPr>
            <w:tcW w:w="484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199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Аграрлық-биологиялық факультеті</w:t>
            </w:r>
          </w:p>
        </w:tc>
        <w:tc>
          <w:tcPr>
            <w:tcW w:w="1205" w:type="dxa"/>
          </w:tcPr>
          <w:p w:rsidR="001F7AF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99</w:t>
            </w:r>
          </w:p>
          <w:p w:rsid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Pr="00FA722E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2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55</w:t>
            </w:r>
          </w:p>
        </w:tc>
        <w:tc>
          <w:tcPr>
            <w:tcW w:w="1157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162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625" w:type="dxa"/>
          </w:tcPr>
          <w:p w:rsidR="001F7AFE" w:rsidRPr="00FA722E" w:rsidRDefault="00C73F6F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73</w:t>
            </w:r>
          </w:p>
        </w:tc>
      </w:tr>
      <w:tr w:rsidR="001F7AFE" w:rsidRPr="00FA722E" w:rsidTr="00783DF9">
        <w:tc>
          <w:tcPr>
            <w:tcW w:w="484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99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Ақпараттық-технологиялар факультеті</w:t>
            </w:r>
          </w:p>
        </w:tc>
        <w:tc>
          <w:tcPr>
            <w:tcW w:w="1205" w:type="dxa"/>
          </w:tcPr>
          <w:p w:rsidR="001F7AF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54</w:t>
            </w:r>
          </w:p>
          <w:p w:rsid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Pr="00FA722E" w:rsidRDefault="00542EBA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2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45</w:t>
            </w:r>
          </w:p>
        </w:tc>
        <w:tc>
          <w:tcPr>
            <w:tcW w:w="1157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2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625" w:type="dxa"/>
          </w:tcPr>
          <w:p w:rsidR="001F7AFE" w:rsidRPr="00FA722E" w:rsidRDefault="00C73F6F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51</w:t>
            </w:r>
          </w:p>
        </w:tc>
      </w:tr>
      <w:tr w:rsidR="001F7AFE" w:rsidRPr="00FA722E" w:rsidTr="00783DF9">
        <w:tc>
          <w:tcPr>
            <w:tcW w:w="484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199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Ветеринария және мал шаруашылығы технологиясы</w:t>
            </w:r>
          </w:p>
        </w:tc>
        <w:tc>
          <w:tcPr>
            <w:tcW w:w="1205" w:type="dxa"/>
          </w:tcPr>
          <w:p w:rsidR="001F7AFE" w:rsidRDefault="001F7AFE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FA722E"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  <w:p w:rsidR="00542EBA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Pr="00FA722E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2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</w:t>
            </w:r>
          </w:p>
        </w:tc>
        <w:tc>
          <w:tcPr>
            <w:tcW w:w="1157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62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</w:t>
            </w:r>
          </w:p>
        </w:tc>
        <w:tc>
          <w:tcPr>
            <w:tcW w:w="1625" w:type="dxa"/>
          </w:tcPr>
          <w:p w:rsidR="001F7AFE" w:rsidRPr="00FA722E" w:rsidRDefault="001F7AFE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  <w:r w:rsidR="00FA722E"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</w:tr>
      <w:tr w:rsidR="001F7AFE" w:rsidRPr="00FA722E" w:rsidTr="00783DF9">
        <w:trPr>
          <w:trHeight w:val="630"/>
        </w:trPr>
        <w:tc>
          <w:tcPr>
            <w:tcW w:w="484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1995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A722E">
              <w:rPr>
                <w:rFonts w:ascii="Times New Roman" w:hAnsi="Times New Roman" w:cs="Times New Roman"/>
                <w:sz w:val="28"/>
                <w:szCs w:val="28"/>
              </w:rPr>
              <w:t>Инженерл</w:t>
            </w:r>
            <w:proofErr w:type="spellEnd"/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ік-техникалық факультеті</w:t>
            </w:r>
          </w:p>
        </w:tc>
        <w:tc>
          <w:tcPr>
            <w:tcW w:w="1205" w:type="dxa"/>
          </w:tcPr>
          <w:p w:rsidR="001F7AFE" w:rsidRDefault="001F7AFE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="00FA722E"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  <w:p w:rsidR="00542EBA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542EBA" w:rsidRPr="00FA722E" w:rsidRDefault="00542EBA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892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53</w:t>
            </w:r>
          </w:p>
        </w:tc>
        <w:tc>
          <w:tcPr>
            <w:tcW w:w="1157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25" w:type="dxa"/>
          </w:tcPr>
          <w:p w:rsidR="001F7AFE" w:rsidRPr="00FA722E" w:rsidRDefault="00B03241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  <w:r w:rsidR="001F7AFE"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1625" w:type="dxa"/>
          </w:tcPr>
          <w:p w:rsidR="001F7AFE" w:rsidRPr="00FA722E" w:rsidRDefault="00FA722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48</w:t>
            </w:r>
          </w:p>
        </w:tc>
      </w:tr>
      <w:tr w:rsidR="001F7AFE" w:rsidRPr="00FA722E" w:rsidTr="00783DF9">
        <w:trPr>
          <w:trHeight w:val="330"/>
        </w:trPr>
        <w:tc>
          <w:tcPr>
            <w:tcW w:w="484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1995" w:type="dxa"/>
          </w:tcPr>
          <w:p w:rsidR="001F7AFE" w:rsidRPr="00FA722E" w:rsidRDefault="004E163D" w:rsidP="00CA116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Барлығы</w:t>
            </w:r>
          </w:p>
        </w:tc>
        <w:tc>
          <w:tcPr>
            <w:tcW w:w="1205" w:type="dxa"/>
          </w:tcPr>
          <w:p w:rsidR="001F7AFE" w:rsidRPr="00FA722E" w:rsidRDefault="00FA722E" w:rsidP="00542EBA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314</w:t>
            </w:r>
          </w:p>
        </w:tc>
        <w:tc>
          <w:tcPr>
            <w:tcW w:w="1892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179</w:t>
            </w:r>
          </w:p>
        </w:tc>
        <w:tc>
          <w:tcPr>
            <w:tcW w:w="1157" w:type="dxa"/>
          </w:tcPr>
          <w:p w:rsidR="001F7AFE" w:rsidRPr="00FA722E" w:rsidRDefault="001F7AF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16</w:t>
            </w:r>
          </w:p>
        </w:tc>
        <w:tc>
          <w:tcPr>
            <w:tcW w:w="1625" w:type="dxa"/>
          </w:tcPr>
          <w:p w:rsidR="001F7AFE" w:rsidRPr="00FA722E" w:rsidRDefault="00FA722E" w:rsidP="00CA11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108</w:t>
            </w:r>
          </w:p>
        </w:tc>
        <w:tc>
          <w:tcPr>
            <w:tcW w:w="1625" w:type="dxa"/>
          </w:tcPr>
          <w:p w:rsidR="001F7AFE" w:rsidRPr="00FA722E" w:rsidRDefault="00C73F6F" w:rsidP="00FA722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  <w:r w:rsidR="00FA722E" w:rsidRPr="00FA722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03</w:t>
            </w:r>
          </w:p>
        </w:tc>
      </w:tr>
    </w:tbl>
    <w:p w:rsidR="00E46B02" w:rsidRDefault="00E46B02" w:rsidP="003D635A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4E163D" w:rsidRPr="00CA5CB6" w:rsidRDefault="00542EBA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lastRenderedPageBreak/>
        <w:t xml:space="preserve">           </w:t>
      </w:r>
      <w:r w:rsidR="004E163D" w:rsidRP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«Мәңгілік Ел жастары – индустрияға» Мемлекеттік бағдарламасы қазақстандық жастардың, оның ішінде Оңтүстік аймақ 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келген жас</w:t>
      </w:r>
      <w:r w:rsid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softHyphen/>
        <w:t>тардың</w:t>
      </w:r>
      <w:r w:rsidR="004E163D" w:rsidRPr="004E163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кең көлемде техникалық-кәсіптік білім алуға және тұғыры биік тәуелсіз Отанымыздың аса маңызды индустрияландыру бағдарламасына қатыстыр</w:t>
      </w:r>
      <w:r w:rsidR="003F44E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у мен тарт</w:t>
      </w:r>
      <w:r w:rsidR="003F44EA" w:rsidRPr="00CA5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уды мақсат етеді</w:t>
      </w:r>
      <w:r w:rsidR="004E163D" w:rsidRPr="00CA5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Әрине бұл қысқа мерзімде аяқталып қалатын бағдарлама емес. Университет үшін болашақ түлектерді облысымызға жас маман ретінде қалдырып жұмыс тауып беру үшін әліде көптеген еңбекті қажет етеді</w:t>
      </w:r>
      <w:r w:rsidR="003F44EA" w:rsidRPr="00CA5C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>. Сондықтан басшылықтын алдына қойылған бұл міндетті орындау үшін барлығымыз бірге атсалуымыз қажет.</w:t>
      </w: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CA5CB6" w:rsidRDefault="00CA5CB6" w:rsidP="00CA5CB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5CB6" w:rsidRPr="00CA5CB6" w:rsidRDefault="00CA5CB6" w:rsidP="00CA5CB6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lastRenderedPageBreak/>
        <w:t>СОДОКЛАД</w:t>
      </w:r>
    </w:p>
    <w:tbl>
      <w:tblPr>
        <w:tblW w:w="5161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413"/>
        <w:gridCol w:w="4612"/>
      </w:tblGrid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A5CB6" w:rsidRPr="00CA5CB6" w:rsidRDefault="00CA5CB6" w:rsidP="00CA5CB6">
            <w:pPr>
              <w:pStyle w:val="a5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A5CB6" w:rsidRPr="00CA5CB6" w:rsidRDefault="00CA5CB6" w:rsidP="00CA5CB6">
            <w:pPr>
              <w:pStyle w:val="a5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spacing w:after="0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РГП «Костанайский государственный университет имени А.Байтурсынова»</w:t>
            </w:r>
          </w:p>
        </w:tc>
      </w:tr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</w:p>
        </w:tc>
      </w:tr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spacing w:line="240" w:lineRule="auto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Ғылыми кеңес</w:t>
            </w:r>
          </w:p>
          <w:p w:rsidR="00CA5CB6" w:rsidRPr="00CA5CB6" w:rsidRDefault="00CA5CB6" w:rsidP="00CA5CB6">
            <w:pPr>
              <w:spacing w:line="240" w:lineRule="auto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отырысына</w:t>
            </w:r>
          </w:p>
          <w:p w:rsidR="00CA5CB6" w:rsidRPr="00CA5CB6" w:rsidRDefault="00CA5CB6" w:rsidP="00CA5CB6">
            <w:pPr>
              <w:spacing w:line="240" w:lineRule="auto"/>
              <w:jc w:val="center"/>
              <w:rPr>
                <w:rStyle w:val="s1"/>
                <w:rFonts w:ascii="Times New Roman" w:eastAsia="Calibri" w:hAnsi="Times New Roman" w:cs="Times New Roman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CA5CB6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ж.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tabs>
                <w:tab w:val="left" w:pos="1027"/>
              </w:tabs>
              <w:spacing w:line="240" w:lineRule="auto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на заседание</w:t>
            </w:r>
          </w:p>
          <w:p w:rsidR="00CA5CB6" w:rsidRPr="00CA5CB6" w:rsidRDefault="00CA5CB6" w:rsidP="00CA5CB6">
            <w:pPr>
              <w:tabs>
                <w:tab w:val="left" w:pos="1027"/>
              </w:tabs>
              <w:spacing w:line="240" w:lineRule="auto"/>
              <w:jc w:val="center"/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sz w:val="28"/>
                <w:szCs w:val="28"/>
                <w:lang w:val="kk-KZ"/>
              </w:rPr>
              <w:t>ученого совета</w:t>
            </w:r>
          </w:p>
          <w:p w:rsidR="00CA5CB6" w:rsidRPr="00CA5CB6" w:rsidRDefault="00CA5CB6" w:rsidP="00CA5CB6">
            <w:pPr>
              <w:tabs>
                <w:tab w:val="left" w:pos="1027"/>
              </w:tabs>
              <w:spacing w:line="240" w:lineRule="auto"/>
              <w:jc w:val="center"/>
              <w:rPr>
                <w:rStyle w:val="s1"/>
                <w:rFonts w:ascii="Times New Roman" w:eastAsia="Calibri" w:hAnsi="Times New Roman" w:cs="Times New Roman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</w:t>
            </w:r>
            <w:r w:rsidRPr="00CA5CB6">
              <w:rPr>
                <w:rFonts w:ascii="Times New Roman" w:hAnsi="Times New Roman" w:cs="Times New Roman"/>
                <w:sz w:val="28"/>
                <w:szCs w:val="28"/>
              </w:rPr>
              <w:t>.11.2018</w:t>
            </w: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г.</w:t>
            </w:r>
          </w:p>
        </w:tc>
      </w:tr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</w:p>
        </w:tc>
      </w:tr>
      <w:tr w:rsidR="00CA5CB6" w:rsidRPr="00CA5CB6" w:rsidTr="00C5079A">
        <w:tc>
          <w:tcPr>
            <w:tcW w:w="27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қ.</w:t>
            </w:r>
          </w:p>
        </w:tc>
        <w:tc>
          <w:tcPr>
            <w:tcW w:w="23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5CB6" w:rsidRPr="00CA5CB6" w:rsidRDefault="00CA5CB6" w:rsidP="00CA5CB6">
            <w:pPr>
              <w:pStyle w:val="a5"/>
              <w:ind w:left="0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eastAsia="Times New Roman" w:hAnsi="Times New Roman"/>
                <w:color w:val="000000"/>
                <w:sz w:val="28"/>
                <w:szCs w:val="28"/>
                <w:lang w:val="kk-KZ"/>
              </w:rPr>
              <w:t>г.Костанай</w:t>
            </w:r>
          </w:p>
        </w:tc>
      </w:tr>
    </w:tbl>
    <w:p w:rsidR="00CA5CB6" w:rsidRPr="00CA5CB6" w:rsidRDefault="00CA5CB6" w:rsidP="00CA5CB6">
      <w:pPr>
        <w:tabs>
          <w:tab w:val="left" w:pos="252"/>
          <w:tab w:val="left" w:pos="792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sz w:val="28"/>
          <w:szCs w:val="28"/>
          <w:lang w:val="kk-KZ"/>
        </w:rPr>
        <w:tab/>
      </w:r>
    </w:p>
    <w:p w:rsidR="00CA5CB6" w:rsidRPr="00CA5CB6" w:rsidRDefault="00CA5CB6" w:rsidP="00CA5CB6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bCs/>
          <w:sz w:val="28"/>
          <w:szCs w:val="28"/>
          <w:lang w:val="kk-KZ"/>
        </w:rPr>
        <w:t>«Серпін-2050» бағдарламасы түлектерін жұмысқа орналастыру туралы / О трудоустройстве выпускников программы «Серпін – 2050»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  <w:t>«Серпін-2050»  әлеуметтік  жобасы  Елбасы Нұрсұлтан Назарбаевтың  «Қазақстан-2050»  стратегиясында айқындалған  басымдықтарды  жүзеге асыруға бағытталған іс-шаралардың қатарына кіреді. Стратегияға сәйкес дамыған 30 елдің қатарына қосылу үшін білікті мамандар даярлау мәселесі өзекті  болмақ.  Осыған орай Қазақстан Республикасы Үкіметі жастар мәселесіне  арнап «Мәңгілік ел жастары - индустрияға» атты  әлеуметтік  жобасын ұсынған  болатын.  Бұл жоба  «</w:t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Мәңгілік Ел Жастары – индустрияға.</w:t>
      </w:r>
      <w:r w:rsidRPr="00CA5CB6">
        <w:rPr>
          <w:rFonts w:ascii="Times New Roman" w:hAnsi="Times New Roman" w:cs="Times New Roman"/>
          <w:bCs/>
          <w:color w:val="111111"/>
          <w:sz w:val="28"/>
          <w:szCs w:val="28"/>
          <w:lang w:val="kk-KZ"/>
        </w:rPr>
        <w:t xml:space="preserve"> Серпін-2050» деп аталады. 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Республикасының Президенті Нұрсұлтан  Әбішұлы Назарбаев «Қазақстанның әлеуметтік жаңғыртылуы: Жалпыға Ортақ Еңбек Қоғамына қарай 20 қадам» бағдарламасында жаhандық деңгейдегі дағдарыс кезінде елімізді әлеуметтік - экономикалық жаңғыртудың шешуші міндеттерін көрсетіп, өткен ғасырдың 60-жылдарынан кеңінен тараған тұтынушылық қоғам тұжырымдамасы орнына балама ретінде Жалпыға Ортақ Еңбек Қоғамы идеясын ұсынды. Сонымен қатар «Елімізде жұмыс орындарын құрудамыз, жаңа өндірістер салудамыз. Сондықтан, жұмыс бар жерге бару керек» - деп көрсетті.</w:t>
      </w:r>
    </w:p>
    <w:p w:rsidR="00CA5CB6" w:rsidRPr="00CA5CB6" w:rsidRDefault="00CA5CB6" w:rsidP="00CA5CB6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> 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Мемлекет басшысының осы идеяларын негізге ала отырып Қазақстан Республикасы Үкіметі жастар мәселесіне арнап арнайы бағдарлама қабылдады. Бүгінгі «Мәңгілік Ел Жастары - индустрияға» Мемлекеттік бағдарламасы осы бір бастамаға үндеу қосып, барынша жастарға қолдау көрсету болып табылады.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Бұл жобаның үш маңызды тұсы бар: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Біреуі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индустриалды-инновациялық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жобалар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ға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мамандарды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даярлау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: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CA5C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аймақтардағы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жастарға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беруді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кү</w:t>
      </w:r>
      <w:proofErr w:type="gramStart"/>
      <w:r w:rsidRPr="00CA5CB6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мол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аймақтардағы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жастарды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жұмыс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күші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тапшы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аймақтардағы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сұранысқа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оқуға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тарту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Екінші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, 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кәсіптік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бейімделу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: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қоғамды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Серпін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жобасын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іске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асыру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A5CB6">
        <w:rPr>
          <w:rFonts w:ascii="Times New Roman" w:hAnsi="Times New Roman" w:cs="Times New Roman"/>
          <w:sz w:val="28"/>
          <w:szCs w:val="28"/>
        </w:rPr>
        <w:t>барысымен</w:t>
      </w:r>
      <w:proofErr w:type="spellEnd"/>
      <w:proofErr w:type="gram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ақпараттандыру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техникалық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кәсіптік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бі</w:t>
      </w:r>
      <w:proofErr w:type="gramStart"/>
      <w:r w:rsidRPr="00CA5CB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ім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берудің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беделін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арттыру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жастардың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жұмысшы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кәсіптер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мамандықтар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proofErr w:type="gramStart"/>
      <w:r w:rsidRPr="00CA5CB6">
        <w:rPr>
          <w:rFonts w:ascii="Times New Roman" w:hAnsi="Times New Roman" w:cs="Times New Roman"/>
          <w:sz w:val="28"/>
          <w:szCs w:val="28"/>
        </w:rPr>
        <w:t>алу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деген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көзқарасын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Үшіншісі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жастардың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әлеуетті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к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әне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жұмыссыздық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мәселелерін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шешу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: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жоба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түлектерін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күші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тапшы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аймақтарда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жұ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мыс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қа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орналастыруға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ықпал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ету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жастардың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еңбекпен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жә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ұмыспен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қамту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саласындағы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жағдайларының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қамтамасыз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етілуі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ішкі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мигранттардың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бейімделуі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не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ғдай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жасау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5CB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жастардың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тұ</w:t>
      </w:r>
      <w:proofErr w:type="gramStart"/>
      <w:r w:rsidRPr="00CA5CB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A5CB6">
        <w:rPr>
          <w:rFonts w:ascii="Times New Roman" w:hAnsi="Times New Roman" w:cs="Times New Roman"/>
          <w:b/>
          <w:sz w:val="28"/>
          <w:szCs w:val="28"/>
        </w:rPr>
        <w:t>ғын-үй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мәселесін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шешу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тетіктерін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b/>
          <w:sz w:val="28"/>
          <w:szCs w:val="28"/>
        </w:rPr>
        <w:t>әзірлеу</w:t>
      </w:r>
      <w:proofErr w:type="spellEnd"/>
      <w:r w:rsidRPr="00CA5CB6">
        <w:rPr>
          <w:rFonts w:ascii="Times New Roman" w:hAnsi="Times New Roman" w:cs="Times New Roman"/>
          <w:b/>
          <w:sz w:val="28"/>
          <w:szCs w:val="28"/>
        </w:rPr>
        <w:t>.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 рамках 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национальной идеи 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Мәңгілі</w:t>
      </w:r>
      <w:proofErr w:type="gram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</w:t>
      </w:r>
      <w:proofErr w:type="spellEnd"/>
      <w:proofErr w:type="gram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ел» </w:t>
      </w:r>
      <w:proofErr w:type="gram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</w:t>
      </w:r>
      <w:proofErr w:type="gram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республике осуществляется 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социальная 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программа «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Серпін</w:t>
      </w:r>
      <w:proofErr w:type="spell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-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2050», по этой программе в нашем университете на 1 сентября 2018 года обучалось более 700 студентов по 14 специальностям инженерно-технического, информационного, аграрного и ветеринарного направления. Студенты обучаются из 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Алматинской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Южно-Казахстанской, 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Жамбылской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Кызылординской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Актюбинской и </w:t>
      </w:r>
      <w:proofErr w:type="spellStart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Мангистауской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областей.</w:t>
      </w:r>
    </w:p>
    <w:p w:rsidR="00CA5CB6" w:rsidRPr="00CA5CB6" w:rsidRDefault="00CA5CB6" w:rsidP="00CA5CB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В 2019 году состоится первый выпуск программы «Серпін-2050». </w:t>
      </w:r>
      <w:r w:rsidRPr="00CA5CB6">
        <w:rPr>
          <w:rFonts w:ascii="Times New Roman" w:hAnsi="Times New Roman" w:cs="Times New Roman"/>
          <w:color w:val="FF0000"/>
          <w:sz w:val="28"/>
          <w:szCs w:val="28"/>
          <w:bdr w:val="none" w:sz="0" w:space="0" w:color="auto" w:frame="1"/>
          <w:lang w:val="kk-KZ"/>
        </w:rPr>
        <w:t>321</w:t>
      </w: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 человек получат специальность и встанет перед нами задача об их трудоустройстве. Хотя перед запуском программы не были оговорены условия трудоустройства сегодня МОН РК, Республиканский штаб программы и Управление молодежной политики области настаивают на трудоустройстве большинства участников программы в пределах Костанайской области.  </w:t>
      </w:r>
    </w:p>
    <w:p w:rsidR="00CA5CB6" w:rsidRPr="00CA5CB6" w:rsidRDefault="00CA5CB6" w:rsidP="00CA5CB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Каждый факультет  имеет план работы по трудоустройству выпускников программы. Это требование Управления по молодежной политике по Костанайской области. </w:t>
      </w:r>
    </w:p>
    <w:p w:rsidR="00CA5CB6" w:rsidRPr="00CA5CB6" w:rsidRDefault="00CA5CB6" w:rsidP="00CA5CB6">
      <w:pPr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  <w:bdr w:val="none" w:sz="0" w:space="0" w:color="auto" w:frame="1"/>
          <w:lang w:val="kk-KZ"/>
        </w:rPr>
        <w:t xml:space="preserve">На факультетах в 1 полугодии 2017-18 учебного года была проведена работа по анкетированию участников программы. Результаты анкетирования говорят, что 19 % будущих выпускников пожелали остаться работать в Костанайской области, практически по всем специальностям. 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8 ноября 2018 года была организована встреча выпускников с отделом социальных программ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области. На встрече была дана информация о программе переселения в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Костанайскую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область, о льготах для желающих переселиться.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Было задано много вопросов, многие из которых не касаются программы переселения.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Так, что же волнует выпускников программы?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B6">
        <w:rPr>
          <w:rFonts w:ascii="Times New Roman" w:hAnsi="Times New Roman" w:cs="Times New Roman"/>
          <w:sz w:val="28"/>
          <w:szCs w:val="28"/>
        </w:rPr>
        <w:t xml:space="preserve">На момент поступления и введения программы в действие до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участников не были доведены требования о трудоустройстве в регионе нахождения университета.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CB6">
        <w:rPr>
          <w:rFonts w:ascii="Times New Roman" w:hAnsi="Times New Roman" w:cs="Times New Roman"/>
          <w:sz w:val="28"/>
          <w:szCs w:val="28"/>
        </w:rPr>
        <w:t xml:space="preserve">Договор, подписанный обладателями гранта по программе </w:t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 xml:space="preserve">«Серпін-2050» </w:t>
      </w:r>
      <w:r w:rsidRPr="00CA5CB6">
        <w:rPr>
          <w:rFonts w:ascii="Times New Roman" w:hAnsi="Times New Roman" w:cs="Times New Roman"/>
          <w:sz w:val="28"/>
          <w:szCs w:val="28"/>
        </w:rPr>
        <w:t xml:space="preserve">не содержит пункта трудоустройства и 3-летней отработки, так как в Закон об </w:t>
      </w:r>
      <w:r w:rsidRPr="00CA5CB6">
        <w:rPr>
          <w:rFonts w:ascii="Times New Roman" w:hAnsi="Times New Roman" w:cs="Times New Roman"/>
          <w:sz w:val="28"/>
          <w:szCs w:val="28"/>
        </w:rPr>
        <w:lastRenderedPageBreak/>
        <w:t xml:space="preserve">образовании поправка по отработке государственных грантов была введена только в 2017 году.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 xml:space="preserve">В ноябре 2018 года деканатами было проведено повторное анкетирование результаты, которой говорят, что количество желающих остаться в регионе обучения возросло почти вдвое.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314 человек.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Возрастной состав выпускников следующий: 18-20 лет – по университету составляет 9,5% или 30 человек, 20-22 года – 84,3% или 274 человека, и более 22 лет – 3,2% или 10 человек. По факультетам наблюдается, примерное такое же явление.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Если говорить о половом составе выпускников, то по университету примерно пополам девушек и парней. По факультетам же, парней больше обучается на ИТФ, а на ФИТ, АБФ и ФВиТЖ от 55,5 – 76,5 % это девушки. Зачем мы сделали этот срез, просто даже в советское время распределение для девушек было либеральным и можно было им трудоустроиться по месту жительства или трудоустройства супруга.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Регион прибытия студентов программы – здесь лидирует Туркестанская область и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CA5CB6">
        <w:rPr>
          <w:rFonts w:ascii="Times New Roman" w:hAnsi="Times New Roman" w:cs="Times New Roman"/>
          <w:sz w:val="28"/>
          <w:szCs w:val="28"/>
        </w:rPr>
        <w:t>.Ш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ымкент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– 54%, затем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Кызылорда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– 26%, Алматы – 12%,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Жамбыльская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область – 7, и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– 1 %. Тенденция сохраняется и по факультетским показателям.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Мы специально ввели вопрос о желании самих выпускников остаться в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области. И результат таков: 65,6 % (206 человек) категорически заявляют о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своем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нежелании оставаться в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области. 34,4 % (108 человек) готовы остаться, в прошлом году – этот показатель был на уровне – 19%.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По факультетам этот показатель следующий: по АБФ 43,4% (43 человека), по ФИТ -40,7% (22 человека), ИТФ – 28,2% (31 человек) и ФВиТЖ – 23,5% (12 человек) желают остаться в нашей области. 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Следующий вопрос был по поводу – имеют ли студенты программы опыт работы во время обучения. Ответы таковы – 72,3% будущих выпускников работали либо продолжают работать, будучи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студентами</w:t>
      </w:r>
      <w:proofErr w:type="gramStart"/>
      <w:r w:rsidRPr="00CA5CB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CA5C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факультетам студенты ИТФ лидируют в этом списке – 76,4%.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И вопрос касался пожеланий и требований участников программы, для того чтобы остаться в </w:t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CA5CB6">
        <w:rPr>
          <w:rFonts w:ascii="Times New Roman" w:hAnsi="Times New Roman" w:cs="Times New Roman"/>
          <w:sz w:val="28"/>
          <w:szCs w:val="28"/>
        </w:rPr>
        <w:t xml:space="preserve"> области: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На первом месте – жилье; Затем, постоянное место работы, высокая заработная плата, были пожелания и реальных цифрах – 150-300 тысяч заработной платы,  льготы, уровень владения государственным языком в местах трудоустройства, хотят остаться, но только в городе, машина от работодателя, бесплатная квартира, были ответы не состанусь ни при каких условиях, выхожу замуж. </w:t>
      </w:r>
    </w:p>
    <w:p w:rsidR="00CA5CB6" w:rsidRPr="00CA5CB6" w:rsidRDefault="00CA5CB6" w:rsidP="00CA5CB6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>Был задан, также вопрос с представителем какой организации выпускники программы хотели бы встретиться?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>151 человек – с юристами;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>127 человек с Управлением молодежной политики;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>12 человек Атамекен и 59 человек ответили другие (в основном была приписка с ответственным лицом по реализации программы «Серпін-2050» по Костанайской области).</w:t>
      </w:r>
    </w:p>
    <w:p w:rsidR="00CA5CB6" w:rsidRPr="00CA5CB6" w:rsidRDefault="00CA5CB6" w:rsidP="00CA5C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CA5CB6" w:rsidRPr="00CA5CB6" w:rsidRDefault="00CA5CB6" w:rsidP="00CA5CB6">
      <w:pPr>
        <w:tabs>
          <w:tab w:val="left" w:pos="252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b/>
          <w:sz w:val="28"/>
          <w:szCs w:val="28"/>
          <w:lang w:val="kk-KZ"/>
        </w:rPr>
        <w:t>Проблемы</w:t>
      </w: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 xml:space="preserve">Уже понятно, что трудоустройство выпускников ложится на плечи нашего университета. Поэтому нам нужно работать в тесной связке с отделом занятости, Управлением молодежной политики и работодателями. </w:t>
      </w: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</w:rPr>
        <w:t xml:space="preserve">Нужно срочно, запросить и получить те пункты дополнений и изменений в реализацию программы </w:t>
      </w: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«Серпін-2050». Провести разъяснительную работу с выпускниками программы и студентами 2-3 курсов. </w:t>
      </w: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Получить с отдела занятости акимата области перечень вакансий на 2019 год. </w:t>
      </w: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Cs/>
          <w:sz w:val="28"/>
          <w:szCs w:val="28"/>
          <w:lang w:val="kk-KZ"/>
        </w:rPr>
        <w:t>И не только по Костанайской области, но и Северо-Казахстанской, Акмолинской областям.</w:t>
      </w: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left" w:pos="252"/>
          <w:tab w:val="left" w:pos="79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>Декан АБФ</w:t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CA5CB6">
        <w:rPr>
          <w:rFonts w:ascii="Times New Roman" w:hAnsi="Times New Roman" w:cs="Times New Roman"/>
          <w:sz w:val="28"/>
          <w:szCs w:val="28"/>
        </w:rPr>
        <w:t>Н.Калимов</w:t>
      </w:r>
      <w:proofErr w:type="spellEnd"/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lastRenderedPageBreak/>
        <w:t>ЖОБА</w:t>
      </w:r>
    </w:p>
    <w:p w:rsidR="00CA5CB6" w:rsidRPr="00CA5CB6" w:rsidRDefault="00CA5CB6" w:rsidP="00CA5C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5170"/>
      </w:tblGrid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ғылыми кеңесінің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ученого совета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23.11.2018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23.11.2018 г.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Тәрбие, әлеуметтік және шаруашылық жұмыстары жөніндегі проректордың м.а. Н.Б. Мамиевтің «Серпін-2050» бағдарламасы түлектерін жұмысқа орналастыру туралы» </w:t>
      </w: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баяндамасын тыңдап, ғылыми кеңес</w:t>
      </w: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bCs/>
          <w:sz w:val="28"/>
          <w:szCs w:val="28"/>
          <w:lang w:val="kk-KZ"/>
        </w:rPr>
        <w:t>ШЕШТІ:</w:t>
      </w: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1. «Серпін-2050» бағдарламасы бойынша 2019 ж. оқу бітіретін түлектер үшін үш жақты жұмысқа орналасу туралы келісім шарт үлгісін дайындау. </w:t>
      </w: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Заңгер, факультет декандары</w:t>
      </w:r>
    </w:p>
    <w:p w:rsidR="00CA5CB6" w:rsidRPr="00CA5CB6" w:rsidRDefault="00CA5CB6" w:rsidP="00CA5CB6">
      <w:pPr>
        <w:tabs>
          <w:tab w:val="left" w:pos="5670"/>
        </w:tabs>
        <w:spacing w:after="0" w:line="240" w:lineRule="auto"/>
        <w:ind w:left="5664" w:firstLine="6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2018 жылдың 15 желтоқсанына дейін</w:t>
      </w:r>
    </w:p>
    <w:p w:rsidR="00CA5CB6" w:rsidRPr="00CA5CB6" w:rsidRDefault="00CA5CB6" w:rsidP="00CA5CB6">
      <w:pPr>
        <w:spacing w:after="0" w:line="240" w:lineRule="auto"/>
        <w:ind w:firstLine="567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2. Түлектердің жұмысқа орналасуын 100% қамтамасыз ету мақсатында  мониторинг жүргізіп әр айдың соңында қортындысын шығарып отыру.</w:t>
      </w:r>
    </w:p>
    <w:p w:rsidR="00CA5CB6" w:rsidRPr="00CA5CB6" w:rsidRDefault="00CA5CB6" w:rsidP="00CA5C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after="0" w:line="240" w:lineRule="auto"/>
        <w:ind w:left="4956" w:firstLine="708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Кафедра меңгерушілері, </w:t>
      </w:r>
    </w:p>
    <w:p w:rsidR="00CA5CB6" w:rsidRPr="00CA5CB6" w:rsidRDefault="00CA5CB6" w:rsidP="00CA5CB6">
      <w:pPr>
        <w:tabs>
          <w:tab w:val="left" w:pos="5670"/>
          <w:tab w:val="center" w:pos="7085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КД және КББ бастығы</w:t>
      </w:r>
    </w:p>
    <w:p w:rsidR="00CA5CB6" w:rsidRPr="00CA5CB6" w:rsidRDefault="00CA5CB6" w:rsidP="00CA5CB6">
      <w:pPr>
        <w:tabs>
          <w:tab w:val="left" w:pos="5715"/>
        </w:tabs>
        <w:spacing w:after="0" w:line="240" w:lineRule="auto"/>
        <w:ind w:left="5715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2019 жылдың 01 қыркүйегіне дейін</w:t>
      </w:r>
    </w:p>
    <w:p w:rsidR="00CA5CB6" w:rsidRPr="00CA5CB6" w:rsidRDefault="00CA5CB6" w:rsidP="00CA5CB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3. Түлектерді жұмыспен сапалы қамтамасыз ету мақсатында жұмыс берушілермен кездесулер ұйымдастыру.</w:t>
      </w:r>
    </w:p>
    <w:p w:rsidR="00CA5CB6" w:rsidRPr="00CA5CB6" w:rsidRDefault="00CA5CB6" w:rsidP="00CA5C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Кафедра меңгерушілері</w:t>
      </w:r>
    </w:p>
    <w:p w:rsidR="00CA5CB6" w:rsidRPr="00CA5CB6" w:rsidRDefault="00CA5CB6" w:rsidP="00CA5C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  <w:t xml:space="preserve">Әр квартал сайын </w:t>
      </w:r>
    </w:p>
    <w:p w:rsidR="00CA5CB6" w:rsidRPr="00CA5CB6" w:rsidRDefault="00CA5CB6" w:rsidP="00CA5CB6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</w:pPr>
    </w:p>
    <w:p w:rsidR="00CA5CB6" w:rsidRPr="00CA5CB6" w:rsidRDefault="00CA5CB6" w:rsidP="00CA5C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4</w:t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. Осы шешімнің орындалуын қадағалау тәрбие, әлеуметтік және шаруашылық жұмыстары жөніндегі проректордың м.а. Н.Б.Мамиевке жүктелсін.</w:t>
      </w: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  <w:t>ПРОЕКТ</w:t>
      </w:r>
    </w:p>
    <w:p w:rsidR="00CA5CB6" w:rsidRPr="00CA5CB6" w:rsidRDefault="00CA5CB6" w:rsidP="00CA5CB6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tbl>
      <w:tblPr>
        <w:tblW w:w="516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5170"/>
      </w:tblGrid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«А.Байтұрсынов атындағы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мемлекеттік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университеті» РМК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РГП «Костанайский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государственный университет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имени А.Байтурсынова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ШЕШІМІ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ректораттың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Style w:val="s1"/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РЕШЕНИЕ</w:t>
            </w:r>
          </w:p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ректората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A5CB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23.11.2018 ж.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23.11.2018 г.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CA5CB6" w:rsidRPr="00CA5CB6" w:rsidTr="00CA5CB6">
        <w:tc>
          <w:tcPr>
            <w:tcW w:w="242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78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A5CB6" w:rsidRPr="00CA5CB6" w:rsidRDefault="00CA5CB6" w:rsidP="00CA5C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A5CB6">
              <w:rPr>
                <w:rStyle w:val="s1"/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город Костанай</w:t>
            </w:r>
          </w:p>
        </w:tc>
      </w:tr>
    </w:tbl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A5CB6">
        <w:rPr>
          <w:rFonts w:ascii="Times New Roman" w:hAnsi="Times New Roman" w:cs="Times New Roman"/>
          <w:color w:val="000000"/>
          <w:sz w:val="28"/>
          <w:szCs w:val="28"/>
        </w:rPr>
        <w:t xml:space="preserve">Заслушав и обсудив доклад и.о. проректора по воспитательной, социальной и хозяйственной работе </w:t>
      </w:r>
      <w:proofErr w:type="spellStart"/>
      <w:r w:rsidRPr="00CA5CB6">
        <w:rPr>
          <w:rFonts w:ascii="Times New Roman" w:hAnsi="Times New Roman" w:cs="Times New Roman"/>
          <w:color w:val="000000"/>
          <w:sz w:val="28"/>
          <w:szCs w:val="28"/>
        </w:rPr>
        <w:t>Мамиева</w:t>
      </w:r>
      <w:proofErr w:type="spellEnd"/>
      <w:r w:rsidRPr="00CA5CB6">
        <w:rPr>
          <w:rFonts w:ascii="Times New Roman" w:hAnsi="Times New Roman" w:cs="Times New Roman"/>
          <w:color w:val="000000"/>
          <w:sz w:val="28"/>
          <w:szCs w:val="28"/>
        </w:rPr>
        <w:t xml:space="preserve"> Н.Б. «О трудоустройстве выпускников программы «</w:t>
      </w:r>
      <w:r w:rsidRPr="00CA5CB6">
        <w:rPr>
          <w:rFonts w:ascii="Times New Roman" w:hAnsi="Times New Roman" w:cs="Times New Roman"/>
          <w:color w:val="000000"/>
          <w:sz w:val="28"/>
          <w:szCs w:val="28"/>
          <w:lang w:val="kk-KZ"/>
        </w:rPr>
        <w:t>Серпін-2050</w:t>
      </w:r>
      <w:r w:rsidRPr="00CA5CB6">
        <w:rPr>
          <w:rFonts w:ascii="Times New Roman" w:hAnsi="Times New Roman" w:cs="Times New Roman"/>
          <w:color w:val="000000"/>
          <w:sz w:val="28"/>
          <w:szCs w:val="28"/>
        </w:rPr>
        <w:t xml:space="preserve">», </w:t>
      </w:r>
      <w:proofErr w:type="spellStart"/>
      <w:r w:rsidRPr="00CA5CB6">
        <w:rPr>
          <w:rFonts w:ascii="Times New Roman" w:hAnsi="Times New Roman" w:cs="Times New Roman"/>
          <w:color w:val="000000"/>
          <w:sz w:val="28"/>
          <w:szCs w:val="28"/>
        </w:rPr>
        <w:t>ученый</w:t>
      </w:r>
      <w:proofErr w:type="spellEnd"/>
      <w:r w:rsidRPr="00CA5CB6">
        <w:rPr>
          <w:rFonts w:ascii="Times New Roman" w:hAnsi="Times New Roman" w:cs="Times New Roman"/>
          <w:color w:val="000000"/>
          <w:sz w:val="28"/>
          <w:szCs w:val="28"/>
        </w:rPr>
        <w:t xml:space="preserve"> совет</w:t>
      </w:r>
    </w:p>
    <w:p w:rsidR="00CA5CB6" w:rsidRPr="00CA5CB6" w:rsidRDefault="00CA5CB6" w:rsidP="00CA5CB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A5CB6" w:rsidRPr="00CA5CB6" w:rsidRDefault="00CA5CB6" w:rsidP="00CA5CB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A5CB6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CA5CB6" w:rsidRPr="00CA5CB6" w:rsidRDefault="00CA5CB6" w:rsidP="00CA5CB6">
      <w:pPr>
        <w:pStyle w:val="a7"/>
        <w:ind w:left="0"/>
        <w:jc w:val="both"/>
        <w:rPr>
          <w:sz w:val="28"/>
          <w:szCs w:val="28"/>
        </w:rPr>
      </w:pPr>
    </w:p>
    <w:p w:rsidR="00CA5CB6" w:rsidRPr="00CA5CB6" w:rsidRDefault="00CA5CB6" w:rsidP="00CA5CB6">
      <w:pPr>
        <w:pStyle w:val="a7"/>
        <w:ind w:left="0" w:firstLine="708"/>
        <w:jc w:val="both"/>
        <w:rPr>
          <w:sz w:val="28"/>
          <w:szCs w:val="28"/>
        </w:rPr>
      </w:pPr>
      <w:r w:rsidRPr="00CA5CB6">
        <w:rPr>
          <w:sz w:val="28"/>
          <w:szCs w:val="28"/>
          <w:lang w:val="kk-KZ"/>
        </w:rPr>
        <w:t>1</w:t>
      </w:r>
      <w:r w:rsidRPr="00CA5CB6">
        <w:rPr>
          <w:sz w:val="28"/>
          <w:szCs w:val="28"/>
        </w:rPr>
        <w:t>. </w:t>
      </w:r>
      <w:r w:rsidRPr="00CA5CB6">
        <w:rPr>
          <w:sz w:val="28"/>
          <w:szCs w:val="28"/>
          <w:lang w:val="kk-KZ"/>
        </w:rPr>
        <w:t>Для выпускников, окончивших обучение в 2019 году по программе «Серпін-2019» подготовить образец трехстороннего довогора  о трудоустройстве.</w:t>
      </w:r>
    </w:p>
    <w:p w:rsidR="00CA5CB6" w:rsidRPr="00CA5CB6" w:rsidRDefault="00CA5CB6" w:rsidP="00CA5CB6">
      <w:pPr>
        <w:pStyle w:val="a7"/>
        <w:tabs>
          <w:tab w:val="left" w:pos="5670"/>
        </w:tabs>
        <w:ind w:left="0"/>
        <w:rPr>
          <w:sz w:val="28"/>
          <w:szCs w:val="28"/>
        </w:rPr>
      </w:pPr>
      <w:r w:rsidRPr="00CA5CB6">
        <w:rPr>
          <w:sz w:val="28"/>
          <w:szCs w:val="28"/>
          <w:lang w:val="kk-KZ"/>
        </w:rPr>
        <w:t xml:space="preserve">                                                                   </w:t>
      </w:r>
      <w:r w:rsidRPr="00CA5CB6">
        <w:rPr>
          <w:sz w:val="28"/>
          <w:szCs w:val="28"/>
          <w:lang w:val="kk-KZ"/>
        </w:rPr>
        <w:tab/>
        <w:t>Юрисконсульт</w:t>
      </w:r>
      <w:r w:rsidRPr="00CA5CB6">
        <w:rPr>
          <w:sz w:val="28"/>
          <w:szCs w:val="28"/>
        </w:rPr>
        <w:t xml:space="preserve">, деканы </w:t>
      </w:r>
    </w:p>
    <w:p w:rsidR="00CA5CB6" w:rsidRPr="00CA5CB6" w:rsidRDefault="00CA5CB6" w:rsidP="00CA5CB6">
      <w:pPr>
        <w:pStyle w:val="a7"/>
        <w:tabs>
          <w:tab w:val="left" w:pos="5670"/>
        </w:tabs>
        <w:ind w:left="0"/>
        <w:rPr>
          <w:sz w:val="28"/>
          <w:szCs w:val="28"/>
        </w:rPr>
      </w:pPr>
      <w:r w:rsidRPr="00CA5CB6">
        <w:rPr>
          <w:sz w:val="28"/>
          <w:szCs w:val="28"/>
        </w:rPr>
        <w:t xml:space="preserve">          </w:t>
      </w:r>
      <w:r>
        <w:rPr>
          <w:sz w:val="28"/>
          <w:szCs w:val="28"/>
        </w:rPr>
        <w:tab/>
        <w:t>ф</w:t>
      </w:r>
      <w:r w:rsidRPr="00CA5CB6">
        <w:rPr>
          <w:sz w:val="28"/>
          <w:szCs w:val="28"/>
        </w:rPr>
        <w:t>акультетов</w:t>
      </w:r>
    </w:p>
    <w:p w:rsidR="00CA5CB6" w:rsidRPr="00CA5CB6" w:rsidRDefault="00CA5CB6" w:rsidP="00CA5CB6">
      <w:pPr>
        <w:pStyle w:val="a7"/>
        <w:tabs>
          <w:tab w:val="left" w:pos="5670"/>
        </w:tabs>
        <w:ind w:left="0"/>
        <w:rPr>
          <w:sz w:val="28"/>
          <w:szCs w:val="28"/>
          <w:lang w:val="kk-KZ"/>
        </w:rPr>
      </w:pPr>
      <w:r w:rsidRPr="00CA5CB6">
        <w:rPr>
          <w:sz w:val="28"/>
          <w:szCs w:val="28"/>
          <w:lang w:val="kk-KZ"/>
        </w:rPr>
        <w:t xml:space="preserve">                                                                       </w:t>
      </w:r>
      <w:r>
        <w:rPr>
          <w:sz w:val="28"/>
          <w:szCs w:val="28"/>
          <w:lang w:val="kk-KZ"/>
        </w:rPr>
        <w:tab/>
      </w:r>
      <w:r w:rsidRPr="00CA5CB6">
        <w:rPr>
          <w:sz w:val="28"/>
          <w:szCs w:val="28"/>
          <w:lang w:val="kk-KZ"/>
        </w:rPr>
        <w:t>до 15 декабря 2018 г.</w:t>
      </w:r>
    </w:p>
    <w:p w:rsidR="00CA5CB6" w:rsidRPr="00CA5CB6" w:rsidRDefault="00CA5CB6" w:rsidP="00CA5CB6">
      <w:pPr>
        <w:pStyle w:val="a7"/>
        <w:ind w:left="0"/>
        <w:jc w:val="both"/>
        <w:rPr>
          <w:sz w:val="28"/>
          <w:szCs w:val="28"/>
          <w:lang w:val="kk-KZ"/>
        </w:rPr>
      </w:pPr>
    </w:p>
    <w:p w:rsidR="00CA5CB6" w:rsidRPr="00CA5CB6" w:rsidRDefault="00CA5CB6" w:rsidP="00CA5CB6">
      <w:pPr>
        <w:pStyle w:val="a7"/>
        <w:ind w:left="0" w:firstLine="708"/>
        <w:jc w:val="both"/>
        <w:rPr>
          <w:sz w:val="28"/>
          <w:szCs w:val="28"/>
        </w:rPr>
      </w:pPr>
      <w:r w:rsidRPr="00CA5CB6">
        <w:rPr>
          <w:sz w:val="28"/>
          <w:szCs w:val="28"/>
        </w:rPr>
        <w:t>2. С целью обеспечения 100% занятости  выпускников в конце каждого месяца проводить мониторинг и подводить итоги.</w:t>
      </w:r>
    </w:p>
    <w:p w:rsidR="00CA5CB6" w:rsidRPr="00CA5CB6" w:rsidRDefault="00CA5CB6" w:rsidP="00CA5CB6">
      <w:pPr>
        <w:pStyle w:val="a7"/>
        <w:ind w:left="0"/>
        <w:rPr>
          <w:sz w:val="28"/>
          <w:szCs w:val="28"/>
        </w:rPr>
      </w:pPr>
      <w:r w:rsidRPr="00CA5CB6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A5CB6">
        <w:rPr>
          <w:sz w:val="28"/>
          <w:szCs w:val="28"/>
        </w:rPr>
        <w:t>Заведующие кафедрами,</w:t>
      </w:r>
    </w:p>
    <w:p w:rsidR="00CA5CB6" w:rsidRPr="00CA5CB6" w:rsidRDefault="00CA5CB6" w:rsidP="00CA5CB6">
      <w:pPr>
        <w:pStyle w:val="a7"/>
        <w:ind w:left="0" w:firstLine="5670"/>
        <w:rPr>
          <w:sz w:val="28"/>
          <w:szCs w:val="28"/>
        </w:rPr>
      </w:pPr>
      <w:r w:rsidRPr="00CA5CB6">
        <w:rPr>
          <w:sz w:val="28"/>
          <w:szCs w:val="28"/>
        </w:rPr>
        <w:t xml:space="preserve">Начальник </w:t>
      </w:r>
      <w:proofErr w:type="spellStart"/>
      <w:r w:rsidRPr="00CA5CB6">
        <w:rPr>
          <w:sz w:val="28"/>
          <w:szCs w:val="28"/>
        </w:rPr>
        <w:t>ОПиПР</w:t>
      </w:r>
      <w:proofErr w:type="spellEnd"/>
    </w:p>
    <w:p w:rsidR="00CA5CB6" w:rsidRPr="00CA5CB6" w:rsidRDefault="00CA5CB6" w:rsidP="00CA5CB6">
      <w:pPr>
        <w:pStyle w:val="a7"/>
        <w:ind w:left="0" w:firstLine="5670"/>
        <w:rPr>
          <w:sz w:val="28"/>
          <w:szCs w:val="28"/>
        </w:rPr>
      </w:pPr>
      <w:r w:rsidRPr="00CA5CB6">
        <w:rPr>
          <w:sz w:val="28"/>
          <w:szCs w:val="28"/>
        </w:rPr>
        <w:t>до 01 сентября 2018 г.</w:t>
      </w:r>
    </w:p>
    <w:p w:rsidR="00CA5CB6" w:rsidRPr="00CA5CB6" w:rsidRDefault="00CA5CB6" w:rsidP="00CA5CB6">
      <w:pPr>
        <w:pStyle w:val="a7"/>
        <w:ind w:left="0"/>
        <w:jc w:val="both"/>
        <w:rPr>
          <w:sz w:val="28"/>
          <w:szCs w:val="28"/>
        </w:rPr>
      </w:pPr>
    </w:p>
    <w:p w:rsidR="00CA5CB6" w:rsidRPr="00CA5CB6" w:rsidRDefault="00CA5CB6" w:rsidP="00CA5C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3. С целью обеспечения качественной работы выпускников организовать встречи с работодателями</w:t>
      </w:r>
      <w:r w:rsidRPr="00CA5CB6">
        <w:rPr>
          <w:rFonts w:ascii="Times New Roman" w:hAnsi="Times New Roman" w:cs="Times New Roman"/>
          <w:sz w:val="28"/>
          <w:szCs w:val="28"/>
        </w:rPr>
        <w:t>.</w:t>
      </w:r>
    </w:p>
    <w:p w:rsidR="00CA5CB6" w:rsidRPr="00CA5CB6" w:rsidRDefault="00CA5CB6" w:rsidP="00CA5C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Заведующие кафедрами</w:t>
      </w:r>
    </w:p>
    <w:p w:rsidR="00CA5CB6" w:rsidRPr="00CA5CB6" w:rsidRDefault="00CA5CB6" w:rsidP="00CA5C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5CB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Каждый квартал</w:t>
      </w:r>
    </w:p>
    <w:p w:rsidR="00CA5CB6" w:rsidRPr="00CA5CB6" w:rsidRDefault="00CA5CB6" w:rsidP="00CA5CB6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5CB6" w:rsidRPr="00CA5CB6" w:rsidRDefault="00CA5CB6" w:rsidP="00CA5CB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A5CB6">
        <w:rPr>
          <w:rFonts w:ascii="Times New Roman" w:hAnsi="Times New Roman" w:cs="Times New Roman"/>
          <w:sz w:val="28"/>
          <w:szCs w:val="28"/>
        </w:rPr>
        <w:t xml:space="preserve">4. </w:t>
      </w:r>
      <w:r w:rsidRPr="00CA5CB6">
        <w:rPr>
          <w:rFonts w:ascii="Times New Roman" w:hAnsi="Times New Roman" w:cs="Times New Roman"/>
          <w:sz w:val="28"/>
          <w:szCs w:val="28"/>
          <w:lang w:val="kk-KZ"/>
        </w:rPr>
        <w:t>Контроль исполнения данного решения возложить на и.о.проректора по воспитательной, социальной и хозяйственной работе Мамиева Н.Б.</w:t>
      </w:r>
    </w:p>
    <w:p w:rsidR="00CA5CB6" w:rsidRDefault="00CA5CB6" w:rsidP="00CA5CB6">
      <w:pPr>
        <w:pStyle w:val="a7"/>
        <w:tabs>
          <w:tab w:val="left" w:pos="284"/>
        </w:tabs>
        <w:ind w:left="0"/>
        <w:jc w:val="both"/>
        <w:rPr>
          <w:sz w:val="28"/>
          <w:szCs w:val="28"/>
          <w:lang w:val="kk-KZ"/>
        </w:rPr>
      </w:pPr>
      <w:bookmarkStart w:id="0" w:name="_GoBack"/>
      <w:bookmarkEnd w:id="0"/>
    </w:p>
    <w:p w:rsidR="00CA5CB6" w:rsidRDefault="00CA5CB6" w:rsidP="00CA5CB6">
      <w:pPr>
        <w:rPr>
          <w:sz w:val="24"/>
          <w:szCs w:val="24"/>
          <w:lang w:val="kk-KZ"/>
        </w:rPr>
      </w:pPr>
    </w:p>
    <w:p w:rsidR="00CA5CB6" w:rsidRDefault="00CA5CB6" w:rsidP="00CA5CB6">
      <w:pPr>
        <w:rPr>
          <w:lang w:val="kk-KZ"/>
        </w:rPr>
      </w:pPr>
    </w:p>
    <w:p w:rsidR="00CA5CB6" w:rsidRDefault="00CA5CB6" w:rsidP="00CA5CB6">
      <w:pPr>
        <w:rPr>
          <w:lang w:val="kk-KZ"/>
        </w:rPr>
      </w:pPr>
    </w:p>
    <w:p w:rsidR="00CA5CB6" w:rsidRPr="00CA5CB6" w:rsidRDefault="00CA5CB6" w:rsidP="00CA5CB6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A5CB6" w:rsidRPr="00FB1B0E" w:rsidRDefault="00CA5CB6" w:rsidP="00CA5CB6">
      <w:pPr>
        <w:spacing w:after="0" w:line="240" w:lineRule="auto"/>
        <w:jc w:val="both"/>
        <w:rPr>
          <w:sz w:val="28"/>
          <w:szCs w:val="28"/>
        </w:rPr>
      </w:pPr>
    </w:p>
    <w:p w:rsidR="00CA5CB6" w:rsidRPr="004E163D" w:rsidRDefault="00CA5CB6" w:rsidP="00CA5CB6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</w:pPr>
    </w:p>
    <w:sectPr w:rsidR="00CA5CB6" w:rsidRPr="004E163D" w:rsidSect="003D635A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BFE"/>
    <w:rsid w:val="00185C88"/>
    <w:rsid w:val="001F7AFE"/>
    <w:rsid w:val="003B0969"/>
    <w:rsid w:val="003D635A"/>
    <w:rsid w:val="003F44EA"/>
    <w:rsid w:val="004E163D"/>
    <w:rsid w:val="00542EBA"/>
    <w:rsid w:val="005F67D1"/>
    <w:rsid w:val="00651D78"/>
    <w:rsid w:val="006D6F9D"/>
    <w:rsid w:val="00783DF9"/>
    <w:rsid w:val="007874FB"/>
    <w:rsid w:val="007D167D"/>
    <w:rsid w:val="00905CAB"/>
    <w:rsid w:val="00B03241"/>
    <w:rsid w:val="00B13BDD"/>
    <w:rsid w:val="00C73F6F"/>
    <w:rsid w:val="00CA5CB6"/>
    <w:rsid w:val="00D63B02"/>
    <w:rsid w:val="00DE5033"/>
    <w:rsid w:val="00E46B02"/>
    <w:rsid w:val="00E939DB"/>
    <w:rsid w:val="00ED0BFE"/>
    <w:rsid w:val="00FA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B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7D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F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A5CB6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CA5CB6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s1">
    <w:name w:val="s1"/>
    <w:basedOn w:val="a0"/>
    <w:rsid w:val="00CA5CB6"/>
  </w:style>
  <w:style w:type="paragraph" w:styleId="a7">
    <w:name w:val="List Paragraph"/>
    <w:basedOn w:val="a"/>
    <w:uiPriority w:val="34"/>
    <w:qFormat/>
    <w:rsid w:val="00CA5C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D0BF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5F67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F67D1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1F7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CA5CB6"/>
    <w:pPr>
      <w:spacing w:after="120" w:line="240" w:lineRule="auto"/>
      <w:ind w:left="283"/>
    </w:pPr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a6">
    <w:name w:val="Основной текст с отступом Знак"/>
    <w:basedOn w:val="a0"/>
    <w:link w:val="a5"/>
    <w:rsid w:val="00CA5CB6"/>
    <w:rPr>
      <w:rFonts w:ascii="Calibri" w:eastAsia="Calibri" w:hAnsi="Calibri" w:cs="Times New Roman"/>
      <w:sz w:val="20"/>
      <w:szCs w:val="20"/>
      <w:lang w:eastAsia="ja-JP"/>
    </w:rPr>
  </w:style>
  <w:style w:type="character" w:customStyle="1" w:styleId="s1">
    <w:name w:val="s1"/>
    <w:basedOn w:val="a0"/>
    <w:rsid w:val="00CA5CB6"/>
  </w:style>
  <w:style w:type="paragraph" w:styleId="a7">
    <w:name w:val="List Paragraph"/>
    <w:basedOn w:val="a"/>
    <w:uiPriority w:val="34"/>
    <w:qFormat/>
    <w:rsid w:val="00CA5CB6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80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9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ВСС</dc:creator>
  <cp:lastModifiedBy>kgu</cp:lastModifiedBy>
  <cp:revision>3</cp:revision>
  <cp:lastPrinted>2018-11-27T06:15:00Z</cp:lastPrinted>
  <dcterms:created xsi:type="dcterms:W3CDTF">2018-11-26T05:21:00Z</dcterms:created>
  <dcterms:modified xsi:type="dcterms:W3CDTF">2018-11-27T06:19:00Z</dcterms:modified>
</cp:coreProperties>
</file>