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997"/>
      </w:tblGrid>
      <w:tr w:rsidR="00626EA9" w:rsidRPr="00AE6FA8" w:rsidTr="009B562A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A9" w:rsidRPr="00AE6FA8" w:rsidRDefault="00626EA9" w:rsidP="009B56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«</w:t>
            </w:r>
            <w:proofErr w:type="spellStart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А.Байтұрсынов</w:t>
            </w:r>
            <w:proofErr w:type="spellEnd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атындағы</w:t>
            </w:r>
            <w:proofErr w:type="spellEnd"/>
          </w:p>
          <w:p w:rsidR="00626EA9" w:rsidRPr="00AE6FA8" w:rsidRDefault="00626EA9" w:rsidP="009B56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Қостанай</w:t>
            </w:r>
            <w:proofErr w:type="spellEnd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мемлекеттік</w:t>
            </w:r>
            <w:proofErr w:type="spellEnd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626EA9" w:rsidRPr="00AE6FA8" w:rsidRDefault="00626EA9" w:rsidP="009B56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университеті</w:t>
            </w:r>
            <w:proofErr w:type="spellEnd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» РМК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A9" w:rsidRPr="00AE6FA8" w:rsidRDefault="00626EA9" w:rsidP="009B562A">
            <w:pPr>
              <w:spacing w:after="0"/>
              <w:ind w:left="10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РГП «</w:t>
            </w:r>
            <w:proofErr w:type="spellStart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Костанайский</w:t>
            </w:r>
            <w:proofErr w:type="spellEnd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государственный университет имени А.Байтурсынова»</w:t>
            </w:r>
          </w:p>
        </w:tc>
      </w:tr>
      <w:tr w:rsidR="00626EA9" w:rsidRPr="00AE6FA8" w:rsidTr="009B562A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A9" w:rsidRPr="00AE6FA8" w:rsidRDefault="00626EA9" w:rsidP="009B562A">
            <w:pPr>
              <w:spacing w:after="120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AE6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A9" w:rsidRPr="00AE6FA8" w:rsidRDefault="00626EA9" w:rsidP="009B562A">
            <w:pPr>
              <w:spacing w:after="120"/>
              <w:ind w:left="1027" w:firstLine="28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AE6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626EA9" w:rsidRPr="00AE6FA8" w:rsidTr="009B562A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A9" w:rsidRPr="00AE6FA8" w:rsidRDefault="00626EA9" w:rsidP="009B56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AE6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A9" w:rsidRPr="00AE6FA8" w:rsidRDefault="00626EA9" w:rsidP="009B56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AE6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СПРАВКА</w:t>
            </w:r>
          </w:p>
        </w:tc>
      </w:tr>
      <w:tr w:rsidR="00626EA9" w:rsidRPr="00AE6FA8" w:rsidTr="009B562A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A9" w:rsidRPr="00AE6FA8" w:rsidRDefault="009A6D81" w:rsidP="009B5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  <w:t>ғ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ja-JP"/>
              </w:rPr>
              <w:t xml:space="preserve">ылыми кеңес </w:t>
            </w:r>
            <w:r w:rsidR="00626EA9" w:rsidRPr="00AE6FA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26EA9" w:rsidRPr="00AE6FA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A9" w:rsidRPr="00AE6FA8" w:rsidRDefault="00626EA9" w:rsidP="009B562A">
            <w:pPr>
              <w:tabs>
                <w:tab w:val="left" w:pos="1027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 заседание ученого совета</w:t>
            </w:r>
          </w:p>
        </w:tc>
      </w:tr>
      <w:tr w:rsidR="00626EA9" w:rsidRPr="00AE6FA8" w:rsidTr="009B562A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A9" w:rsidRPr="00AE6FA8" w:rsidRDefault="00626EA9" w:rsidP="009B562A">
            <w:pPr>
              <w:spacing w:after="120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22</w:t>
            </w:r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.1</w:t>
            </w:r>
            <w:r w:rsidRPr="003C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2</w:t>
            </w:r>
            <w:r w:rsidRPr="003C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.2017</w:t>
            </w:r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A9" w:rsidRPr="00AE6FA8" w:rsidRDefault="00626EA9" w:rsidP="009B562A">
            <w:pPr>
              <w:spacing w:after="12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22</w:t>
            </w:r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.1</w:t>
            </w:r>
            <w:r w:rsidRPr="003C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2</w:t>
            </w:r>
            <w:r w:rsidRPr="003C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.2017</w:t>
            </w:r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г.</w:t>
            </w:r>
          </w:p>
        </w:tc>
      </w:tr>
      <w:tr w:rsidR="00626EA9" w:rsidRPr="00AE6FA8" w:rsidTr="009B562A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A9" w:rsidRPr="00AE6FA8" w:rsidRDefault="00626EA9" w:rsidP="009B56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Қостанай</w:t>
            </w:r>
            <w:proofErr w:type="spellEnd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қаласы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A9" w:rsidRPr="00AE6FA8" w:rsidRDefault="00626EA9" w:rsidP="009B562A">
            <w:pPr>
              <w:spacing w:after="120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город </w:t>
            </w:r>
            <w:proofErr w:type="spellStart"/>
            <w:r w:rsidRPr="00A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Костанай</w:t>
            </w:r>
            <w:proofErr w:type="spellEnd"/>
          </w:p>
        </w:tc>
      </w:tr>
    </w:tbl>
    <w:p w:rsidR="00626EA9" w:rsidRDefault="00626EA9" w:rsidP="00626E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626EA9" w:rsidRPr="00B66591" w:rsidRDefault="00626EA9" w:rsidP="00626EA9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665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6659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 организации </w:t>
      </w:r>
      <w:r w:rsidRPr="00B66591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общей</w:t>
      </w:r>
      <w:r w:rsidRPr="00B6659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  </w:t>
      </w:r>
      <w:r w:rsidRPr="00B66591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специальной, профилактической и корректирующей работы со студенческой молодежью</w:t>
      </w:r>
    </w:p>
    <w:p w:rsidR="00626EA9" w:rsidRDefault="00626EA9" w:rsidP="00626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26EA9" w:rsidRPr="00B66591" w:rsidRDefault="00626EA9" w:rsidP="00626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</w:t>
      </w:r>
      <w:r w:rsidRPr="00E6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тратегия госуд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арственной молодежной политики РК  </w:t>
      </w:r>
      <w:r w:rsidRPr="00E6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одной из главных задач</w:t>
      </w:r>
      <w:r w:rsidRPr="00E6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вовлечение молодежи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бщественную жизнь. Процесс вовлечения не может быть эпизодическим, он должен быть системным, только в этом случае можно говорить о развитии навыков</w:t>
      </w:r>
      <w:r w:rsidRPr="00E6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жизнедеятельности,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привитии</w:t>
      </w:r>
      <w:r w:rsidRPr="00E6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о личностном росте. О</w:t>
      </w:r>
      <w:r w:rsidRPr="00E6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тстраненность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</w:t>
      </w:r>
      <w:r w:rsidRPr="00E6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участия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жизни порождает слабую социальную</w:t>
      </w:r>
      <w:r w:rsidRPr="00E6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будущем, </w:t>
      </w:r>
      <w:r w:rsidRPr="00E6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уверенность в бесполезности проявления гражд</w:t>
      </w:r>
      <w:r w:rsidR="002D0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анской активности</w:t>
      </w:r>
      <w:r w:rsidRPr="00E6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6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антипатриотиз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уход в личные проблемы,</w:t>
      </w:r>
      <w:r w:rsidR="007B5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протестные настроения,</w:t>
      </w:r>
      <w:r w:rsidRPr="00E61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актуализирует организацию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18EA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общей</w:t>
      </w:r>
      <w:r w:rsidRPr="00B66591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так и </w:t>
      </w:r>
      <w:r w:rsidR="006218EA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специальной, профилактической и корректирующей работы</w:t>
      </w:r>
      <w:r w:rsidRPr="00B66591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.</w:t>
      </w:r>
      <w:r w:rsidRPr="004310E6">
        <w:t xml:space="preserve"> </w:t>
      </w:r>
    </w:p>
    <w:p w:rsidR="00626EA9" w:rsidRPr="00B66591" w:rsidRDefault="00626EA9" w:rsidP="00982BF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41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воспитательная работа</w:t>
      </w:r>
      <w:r w:rsidRPr="00D4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групповые, факультетские и общеуниверситетские культурно-массовые </w:t>
      </w:r>
      <w:r w:rsidRPr="00D41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18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мероприятия</w:t>
      </w:r>
      <w:r w:rsidRPr="00D4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организация</w:t>
      </w:r>
      <w:r w:rsidRPr="00AB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вызывает особых проблем,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это запланированная работа клубов, это мероприятия студенческих групп, которые проводятся в соответствии с их интересами, потребностями, склонностями и, таким образом, создают условия для успешной социализации, саморазвития и самореализации. Поскольку в этом учебном году воспитательная работа заслушивается в тре</w:t>
      </w:r>
      <w:r w:rsid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тий раз и </w:t>
      </w:r>
      <w:r w:rsidR="001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вопросы воспитания, остановлюсь на проблемах </w:t>
      </w:r>
      <w:r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специальной,</w:t>
      </w:r>
      <w:r w:rsidR="00707F85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профилактической и корректирующе</w:t>
      </w:r>
      <w:r w:rsidR="00982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работы.</w:t>
      </w:r>
    </w:p>
    <w:p w:rsidR="00982BF3" w:rsidRPr="00652B53" w:rsidRDefault="00626EA9" w:rsidP="00982BF3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2BF3" w:rsidRPr="001E0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82BF3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пециальная работа</w:t>
      </w:r>
      <w:r w:rsidR="00982BF3"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затрагивает этические вопросы  жизни, а потому т</w:t>
      </w:r>
      <w:r w:rsidR="00982BF3"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ребует последовательных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и системных действий, в первую очередь,  от кураторов и </w:t>
      </w:r>
      <w:proofErr w:type="spellStart"/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эдвайзеров</w:t>
      </w:r>
      <w:proofErr w:type="spellEnd"/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. Необходимо</w:t>
      </w:r>
      <w:r w:rsidR="00982BF3"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распознать 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каждого студента, его интересы, жизненную позицию, личные проблемы </w:t>
      </w:r>
      <w:r w:rsidR="00982BF3"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и 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настрой </w:t>
      </w:r>
      <w:r w:rsidR="00982BF3"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группы в целом. Для этого 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на занятиях в школе куратора рекомендуются</w:t>
      </w:r>
      <w:r w:rsidR="00982BF3"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различные формы и методы работы. К примеру,</w:t>
      </w:r>
      <w:r w:rsidR="00982BF3"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показ и 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последующее </w:t>
      </w:r>
      <w:r w:rsidR="00982BF3"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обсуждение фильмов 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на морально-этические темы. В этом году достаточно массовыми были просмотры фильмов </w:t>
      </w:r>
      <w:r w:rsidR="00982BF3"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«Дорога к матери», «Так сложились звезды» о жизни Президента, </w:t>
      </w:r>
      <w:r w:rsidR="00982BF3" w:rsidRPr="0031035C">
        <w:rPr>
          <w:rFonts w:ascii="Times New Roman" w:hAnsi="Times New Roman" w:cs="Times New Roman"/>
          <w:sz w:val="28"/>
          <w:szCs w:val="28"/>
        </w:rPr>
        <w:t xml:space="preserve">фильм известного тележурналиста Майи </w:t>
      </w:r>
      <w:proofErr w:type="spellStart"/>
      <w:r w:rsidR="00982BF3" w:rsidRPr="0031035C">
        <w:rPr>
          <w:rFonts w:ascii="Times New Roman" w:hAnsi="Times New Roman" w:cs="Times New Roman"/>
          <w:sz w:val="28"/>
          <w:szCs w:val="28"/>
        </w:rPr>
        <w:t>Бекбаевой</w:t>
      </w:r>
      <w:proofErr w:type="spellEnd"/>
      <w:r w:rsidR="00982BF3" w:rsidRPr="0031035C">
        <w:rPr>
          <w:rFonts w:ascii="Times New Roman" w:hAnsi="Times New Roman" w:cs="Times New Roman"/>
          <w:sz w:val="28"/>
          <w:szCs w:val="28"/>
        </w:rPr>
        <w:t xml:space="preserve">  «Тайны и судьбы великих казахов. </w:t>
      </w:r>
      <w:proofErr w:type="spellStart"/>
      <w:r w:rsidR="00982BF3" w:rsidRPr="0031035C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="00982BF3" w:rsidRPr="00310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BF3" w:rsidRPr="0031035C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="00982BF3" w:rsidRPr="0031035C">
        <w:rPr>
          <w:rFonts w:ascii="Times New Roman" w:hAnsi="Times New Roman" w:cs="Times New Roman"/>
          <w:sz w:val="28"/>
          <w:szCs w:val="28"/>
        </w:rPr>
        <w:t>»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, документальных фильмов</w:t>
      </w:r>
      <w:r w:rsidR="00982BF3" w:rsidRPr="0031035C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по теме «</w:t>
      </w:r>
      <w:proofErr w:type="spellStart"/>
      <w:r w:rsidR="00982BF3" w:rsidRPr="0031035C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Т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уғ</w:t>
      </w:r>
      <w:r w:rsidR="00982BF3" w:rsidRPr="0031035C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ан</w:t>
      </w:r>
      <w:proofErr w:type="spellEnd"/>
      <w:r w:rsidR="00982BF3" w:rsidRPr="0031035C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proofErr w:type="spellStart"/>
      <w:r w:rsidR="00982BF3" w:rsidRPr="0031035C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жер</w:t>
      </w:r>
      <w:proofErr w:type="spellEnd"/>
      <w:r w:rsidR="00982BF3" w:rsidRPr="0031035C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», «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100 новых лиц Казахстана».  В дополнение к ним</w:t>
      </w:r>
      <w:r w:rsidR="00982BF3" w:rsidRPr="0031035C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состоялась </w:t>
      </w:r>
      <w:r w:rsidR="00982BF3" w:rsidRPr="0031035C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презентация книги </w:t>
      </w:r>
      <w:proofErr w:type="spellStart"/>
      <w:r w:rsidR="00982BF3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="00982BF3">
        <w:rPr>
          <w:rFonts w:ascii="Times New Roman" w:hAnsi="Times New Roman" w:cs="Times New Roman"/>
          <w:sz w:val="28"/>
          <w:szCs w:val="28"/>
        </w:rPr>
        <w:t xml:space="preserve"> писателя Г.</w:t>
      </w:r>
      <w:r w:rsidR="00982BF3" w:rsidRPr="00310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BF3" w:rsidRPr="0031035C">
        <w:rPr>
          <w:rFonts w:ascii="Times New Roman" w:hAnsi="Times New Roman" w:cs="Times New Roman"/>
          <w:sz w:val="28"/>
          <w:szCs w:val="28"/>
        </w:rPr>
        <w:t>Маулетова</w:t>
      </w:r>
      <w:proofErr w:type="spellEnd"/>
      <w:r w:rsidR="00982BF3" w:rsidRPr="0031035C">
        <w:rPr>
          <w:rFonts w:ascii="Times New Roman" w:hAnsi="Times New Roman" w:cs="Times New Roman"/>
          <w:sz w:val="28"/>
          <w:szCs w:val="28"/>
        </w:rPr>
        <w:t xml:space="preserve"> </w:t>
      </w:r>
      <w:r w:rsidR="00982BF3" w:rsidRPr="0031035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82BF3" w:rsidRPr="0031035C">
        <w:rPr>
          <w:rFonts w:ascii="Times New Roman" w:hAnsi="Times New Roman" w:cs="Times New Roman"/>
          <w:sz w:val="28"/>
          <w:szCs w:val="28"/>
          <w:lang w:val="kk-KZ"/>
        </w:rPr>
        <w:t>Ұмытылмайтын қасірет</w:t>
      </w:r>
      <w:r w:rsidR="00982BF3">
        <w:rPr>
          <w:rFonts w:ascii="Times New Roman" w:hAnsi="Times New Roman" w:cs="Times New Roman"/>
          <w:sz w:val="28"/>
          <w:szCs w:val="28"/>
        </w:rPr>
        <w:t xml:space="preserve">», писателя </w:t>
      </w:r>
      <w:proofErr w:type="spellStart"/>
      <w:r w:rsidR="00982BF3">
        <w:rPr>
          <w:rFonts w:ascii="Times New Roman" w:hAnsi="Times New Roman" w:cs="Times New Roman"/>
          <w:sz w:val="28"/>
          <w:szCs w:val="28"/>
        </w:rPr>
        <w:t>А.Шаяхмета</w:t>
      </w:r>
      <w:proofErr w:type="spellEnd"/>
      <w:r w:rsidR="00982B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82BF3">
        <w:rPr>
          <w:rFonts w:ascii="Times New Roman" w:hAnsi="Times New Roman" w:cs="Times New Roman"/>
          <w:sz w:val="28"/>
          <w:szCs w:val="28"/>
        </w:rPr>
        <w:t>Елдес</w:t>
      </w:r>
      <w:proofErr w:type="spellEnd"/>
      <w:r w:rsidR="0098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BF3">
        <w:rPr>
          <w:rFonts w:ascii="Times New Roman" w:hAnsi="Times New Roman" w:cs="Times New Roman"/>
          <w:sz w:val="28"/>
          <w:szCs w:val="28"/>
        </w:rPr>
        <w:t>Омарұлы</w:t>
      </w:r>
      <w:proofErr w:type="spellEnd"/>
      <w:r w:rsidR="00982BF3">
        <w:rPr>
          <w:rFonts w:ascii="Times New Roman" w:hAnsi="Times New Roman" w:cs="Times New Roman"/>
          <w:sz w:val="28"/>
          <w:szCs w:val="28"/>
        </w:rPr>
        <w:t xml:space="preserve">», посвященная 100-летию </w:t>
      </w:r>
      <w:proofErr w:type="spellStart"/>
      <w:r w:rsidR="00982BF3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="00982BF3">
        <w:rPr>
          <w:rFonts w:ascii="Times New Roman" w:hAnsi="Times New Roman" w:cs="Times New Roman"/>
          <w:sz w:val="28"/>
          <w:szCs w:val="28"/>
        </w:rPr>
        <w:t xml:space="preserve"> Орды. 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Воспитательное воздействие оказали и такие мероприятия как</w:t>
      </w:r>
      <w:r w:rsidR="00982BF3" w:rsidRPr="00DA484C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встреча с участниками</w:t>
      </w:r>
      <w:r w:rsidR="00982BF3"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антиядерного движения «Невада-Семипалатинск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», «День памяти </w:t>
      </w:r>
      <w:proofErr w:type="spellStart"/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К.Доненбаевой</w:t>
      </w:r>
      <w:proofErr w:type="spellEnd"/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», организатором которого стал ИТФ, выступление свидетелей декабрьских событий 1986 года (АБФ), содержание которых  вызывает</w:t>
      </w:r>
      <w:r w:rsidR="00982BF3"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на серьезные </w:t>
      </w:r>
      <w:r w:rsidR="00982BF3"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размышле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ния</w:t>
      </w:r>
      <w:r w:rsidR="00982BF3"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,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оценочные суждения, </w:t>
      </w:r>
      <w:r w:rsidR="00982BF3"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учит анализировать и прогнозировать свои мысли, поступки, личный  опыт</w:t>
      </w:r>
      <w:r w:rsidR="00982BF3"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поведен</w:t>
      </w:r>
      <w:r w:rsidR="00982BF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ия в ситуациях морального выбора</w:t>
      </w:r>
      <w:r w:rsidR="00982BF3"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. </w:t>
      </w:r>
    </w:p>
    <w:p w:rsidR="00982BF3" w:rsidRDefault="00982BF3" w:rsidP="00982B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       К специальной работе мы относим и проведение тренингов, направленных на установление продуктивных межличностных отношений среди студентов, особенно для перво</w:t>
      </w:r>
      <w:r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курсников в период их адаптации.  Таким образом, специальная воспитательная работа проводилась для понимания, формирования и укрепления правильной жизненной позиции и ценностных ориентаций студентов через размышления, переживания, оценивание.</w:t>
      </w:r>
    </w:p>
    <w:p w:rsidR="00626EA9" w:rsidRDefault="00626EA9" w:rsidP="00626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1292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       </w:t>
      </w:r>
      <w:r w:rsidRPr="00082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офилактическая работа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многоаспектна, поскольку это проблемы</w:t>
      </w:r>
      <w:r w:rsidRPr="00AB1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правонарушений, суицидального поведения, межнациональных конфликтов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здорового образа жизни</w:t>
      </w:r>
      <w:r w:rsidRPr="00AB1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вопросы профилактики решаются собственными усилиями. Так, в мероприятиях по профилактике</w:t>
      </w:r>
      <w:r w:rsidRPr="00AB1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межнациональных конфликт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принимали участие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Жакупов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К.Х., являющийся членом</w:t>
      </w:r>
      <w:r w:rsidRPr="00AB1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Ассамб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леи народа Казахстана, писатель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А.Шаяхмет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проводила</w:t>
      </w:r>
      <w:r w:rsidRPr="00AB1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при участии студенческого </w:t>
      </w:r>
      <w:r w:rsidRPr="00AB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клуба «Артемида» и  профкома универ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ситета (акция</w:t>
      </w:r>
      <w:proofErr w:type="gramEnd"/>
    </w:p>
    <w:p w:rsidR="00626EA9" w:rsidRDefault="00626EA9" w:rsidP="00626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Мероприятия по профилактик</w:t>
      </w:r>
      <w:r w:rsidR="00C93E9A">
        <w:rPr>
          <w:rFonts w:ascii="Times New Roman" w:hAnsi="Times New Roman" w:cs="Times New Roman"/>
          <w:sz w:val="28"/>
          <w:szCs w:val="28"/>
          <w:shd w:val="clear" w:color="auto" w:fill="FFFFFF"/>
        </w:rPr>
        <w:t>е правонарушений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были организованы  кураторами и студентами старших курсов юридического факультета, в частности по ст.442 Кодекса об административном правонарушении.</w:t>
      </w:r>
    </w:p>
    <w:p w:rsidR="00626EA9" w:rsidRDefault="00626EA9" w:rsidP="00626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93E9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программы</w:t>
      </w:r>
      <w:r w:rsidR="00C93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«Путь к здоровью», прошло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тестирование наших студентов по выявлению компонентов здоровья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тренинг.  </w:t>
      </w:r>
    </w:p>
    <w:p w:rsidR="00626EA9" w:rsidRDefault="00626EA9" w:rsidP="00626EA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AB1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повышения уровня религиозной грамотности студентов приглашаются </w:t>
      </w:r>
      <w:r w:rsidRPr="00AB1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 управления по делам религии. Если раньше мы собирали большие аудитории студентов, то в этом году проводилась индивидуальная адресная работа. Такую же точечную работу проводят кураторы, заместители деканов, во время дежурства в Доме студентов и члены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информационно-пропагандисткой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Центра </w:t>
      </w:r>
      <w:r w:rsidRPr="006C4A12">
        <w:rPr>
          <w:rFonts w:ascii="Times New Roman" w:hAnsi="Times New Roman" w:cs="Times New Roman"/>
          <w:sz w:val="28"/>
          <w:szCs w:val="28"/>
        </w:rPr>
        <w:t>изучения проблем межэтнического и межконфессионального согласия</w:t>
      </w:r>
      <w:r>
        <w:rPr>
          <w:rFonts w:ascii="Times New Roman" w:hAnsi="Times New Roman" w:cs="Times New Roman"/>
          <w:sz w:val="28"/>
          <w:szCs w:val="28"/>
        </w:rPr>
        <w:t xml:space="preserve"> нашего университета.</w:t>
      </w:r>
      <w:r w:rsidRPr="006C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не менее, религиозная грамотность студентов остается для нас проблемой. На сегодня, к</w:t>
      </w:r>
      <w:r w:rsidRPr="003D1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оличество студентов, с устойчивыми религиозными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идеями и </w:t>
      </w:r>
      <w:r w:rsidRPr="003D1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взглядами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продолжает расти. С одной стороны, это вполне объяснимая ситуация, их количество увеличилось за счет первокурсников, прибывших из южного региона. (Намаз читают в основном студенты, обучающиеся по программе «Серп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 сожалению,  к</w:t>
      </w:r>
      <w:r w:rsidRPr="003D1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личест</w:t>
      </w:r>
      <w:r w:rsidRPr="003D1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дев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ушек, носящих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хиджаб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тоже увеличилось, поэтому для нас этот вопрос остается актуальным.</w:t>
      </w:r>
      <w:r w:rsidRPr="00BB653B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Пока единого мнения о запрете ношения </w:t>
      </w:r>
      <w:proofErr w:type="spellStart"/>
      <w:r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хиджаба</w:t>
      </w:r>
      <w:proofErr w:type="spellEnd"/>
      <w:r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в </w:t>
      </w:r>
      <w:r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lastRenderedPageBreak/>
        <w:t>учреждениях образования нет, на данный момент вопрос вынесен на рассмотрение в Парламенте.</w:t>
      </w:r>
    </w:p>
    <w:p w:rsidR="00626EA9" w:rsidRDefault="00626EA9" w:rsidP="00626EA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         Единый час на тему «45 минут антикоррупционной политики» также проводился в рамках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профилактической работы.</w:t>
      </w:r>
    </w:p>
    <w:p w:rsidR="001E0479" w:rsidRDefault="00626EA9" w:rsidP="00626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         И специальная, и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рофилактическая работа тесно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="008D78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коррек</w:t>
      </w:r>
      <w:proofErr w:type="spellEnd"/>
      <w:r w:rsidR="008D78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тирующей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нашем случае, это формирование правильного поведения студентов, понимания ими общечеловеческих ценностей, сложностей жизненных ситуаций.  Такая работа приобретает актуальность в связи с повышением уровня суицидального поведения среди молодежи, религиозной безграмотности, психологическо</w:t>
      </w:r>
      <w:r w:rsidR="000B6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неустойчивости.  </w:t>
      </w:r>
      <w:proofErr w:type="spellStart"/>
      <w:r w:rsidR="000B6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</w:t>
      </w:r>
      <w:proofErr w:type="spellEnd"/>
      <w:r w:rsidR="000B6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ктирующая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требует участия специалистов. Поэтому, на первом собрании кураторов первого курса были даны рекомендации, как п</w:t>
      </w:r>
      <w:r w:rsidR="000B6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равильно проводить </w:t>
      </w:r>
      <w:proofErr w:type="spellStart"/>
      <w:r w:rsidR="000B6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</w:t>
      </w:r>
      <w:proofErr w:type="spellEnd"/>
      <w:r w:rsidR="000B6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тирующую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 со студентами. В этом нам помогает лаборатория практической психологии.</w:t>
      </w:r>
      <w:r w:rsidR="000B6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учетом важности </w:t>
      </w:r>
      <w:proofErr w:type="spellStart"/>
      <w:r w:rsidR="000B6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</w:t>
      </w:r>
      <w:proofErr w:type="spellEnd"/>
      <w:r w:rsidR="000B6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ктирующей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в программу школы куратора включены психолого-педагогические мет</w:t>
      </w:r>
      <w:r w:rsidR="000B6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оды, методики и техники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со студентами.</w:t>
      </w:r>
      <w:r w:rsidRPr="00C97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6EA9" w:rsidRDefault="001E0479" w:rsidP="00626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26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не столь высокие, но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лагодаря проведенной работе по вопросам религиозного воспитания</w:t>
      </w:r>
      <w:r w:rsidR="00626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удалось 1 студента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вернуть из медресе, 1 студентка через некоторое время сняла</w:t>
      </w:r>
      <w:r w:rsidR="00626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6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хиджаб</w:t>
      </w:r>
      <w:proofErr w:type="spellEnd"/>
      <w:r w:rsidR="00626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6EA9" w:rsidRDefault="00626EA9" w:rsidP="00626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С какими проблемами мы столкнулись при организации специальной,</w:t>
      </w:r>
      <w:r w:rsidR="003D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профилактической и </w:t>
      </w:r>
      <w:proofErr w:type="spellStart"/>
      <w:r w:rsidR="003D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</w:t>
      </w:r>
      <w:proofErr w:type="spellEnd"/>
      <w:r w:rsidR="003D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ктирующе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работы:</w:t>
      </w:r>
    </w:p>
    <w:p w:rsidR="00626EA9" w:rsidRDefault="00626EA9" w:rsidP="00626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1. Если со студентами, обучающимися на русском языке, такая работа не вызывает особых сложностей, то для аудитории с казахским языком обучения это оказалось проблематичным: психологические учреждения города, с которыми мы сотрудничаем,  а также правоохранительные органы затруднились нам предоставить специалистов, владеющих казахским языком.</w:t>
      </w:r>
    </w:p>
    <w:p w:rsidR="00626EA9" w:rsidRDefault="00626EA9" w:rsidP="00626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2.В сложных и серьезных ситуациях психологического характера, необходима помощь опытного специалиста-психотерапевта и проведение  психодиагностической работы. Пока это не под силу нашей лаборатории практической психологии.</w:t>
      </w:r>
    </w:p>
    <w:p w:rsidR="00707F85" w:rsidRDefault="00982BF3" w:rsidP="00707F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707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сложившейся ситуации нами подготовлено официальное письмо </w:t>
      </w:r>
      <w:r w:rsidR="00707F85" w:rsidRPr="00A8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707F85" w:rsidRPr="00A8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Костанайскую</w:t>
      </w:r>
      <w:proofErr w:type="spellEnd"/>
      <w:r w:rsidR="00707F85" w:rsidRPr="00A8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областную психиатрическую больницу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центр  ЗОЖ </w:t>
      </w:r>
      <w:r w:rsidR="00707F85" w:rsidRPr="00A8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просьбой о</w:t>
      </w:r>
      <w:r w:rsidR="00707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казать содействие в проведении профилактической и </w:t>
      </w:r>
      <w:proofErr w:type="spellStart"/>
      <w:r w:rsidR="00707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</w:t>
      </w:r>
      <w:proofErr w:type="spellEnd"/>
      <w:r w:rsidR="00707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тирующей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работы, также</w:t>
      </w:r>
      <w:r w:rsidR="00707F85" w:rsidRPr="00A8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привле</w:t>
      </w:r>
      <w:r w:rsidR="00707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чением специалистов,</w:t>
      </w:r>
      <w:r w:rsidR="00707F85" w:rsidRPr="00A8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владеющих казахским языком.</w:t>
      </w:r>
      <w:r w:rsidR="00707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6EA9" w:rsidRDefault="00626EA9" w:rsidP="00626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3. Профилактическая работа со студентами по предупреждению опасных религиозных проявлений должна проводит</w:t>
      </w:r>
      <w:r w:rsidR="00C93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и на учебных занятиях. Но у нас нет преподавателей с соответствующим образованием, дисциплину «Религиоведение» ведут преподаватели с базовым образованием «История». К слову, в двух вузах страны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ЕНУ) проводятся курсы повышения квалификации по религиоведению.             </w:t>
      </w:r>
    </w:p>
    <w:p w:rsidR="00626EA9" w:rsidRDefault="00626EA9" w:rsidP="00626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Нас часто упрекают в том, что в университете проводится много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досугово-развле</w:t>
      </w:r>
      <w:r w:rsidRPr="00AE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мероприятий. Но отказаться от них было бы неправильным, так как именно такие мероприятия отвлекают студентов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далеко нездоровых мыслей и идей. В процессе подготовки к конкурсам, фестивалям они заняты репетициями, кастингами, пишут сценарии, снимают видеоролики. Это лучше, чем какие-либо увлечения с негативными последствиями.</w:t>
      </w:r>
    </w:p>
    <w:p w:rsidR="00626EA9" w:rsidRPr="00026D01" w:rsidRDefault="00626EA9" w:rsidP="00626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вопросы образования</w:t>
      </w:r>
      <w:r w:rsidR="004C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упоминают Болонский процесс</w:t>
      </w:r>
      <w:r w:rsidR="00B15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сожалению,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 на подготовку будущего специалиста. Конечно, для экономического роста государства это важно, но наша  национальная модель образования направлена на воспитание и формирование личности. Воспитанный человек, с правильными жизненными ориентирами, нравственными ценностями вряд ли в будущем будет плохим специалистом. Быть плохим ему не позволит его воспитание. А вот понятие «хороший специалист» не может гарантировать высокий уровень его культуры и порядочности.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26D01">
        <w:rPr>
          <w:rFonts w:ascii="Times New Roman" w:hAnsi="Times New Roman" w:cs="Times New Roman"/>
          <w:sz w:val="28"/>
          <w:szCs w:val="28"/>
        </w:rPr>
        <w:t xml:space="preserve">езультат правильного </w:t>
      </w:r>
      <w:r>
        <w:rPr>
          <w:rFonts w:ascii="Times New Roman" w:hAnsi="Times New Roman" w:cs="Times New Roman"/>
          <w:sz w:val="28"/>
          <w:szCs w:val="28"/>
        </w:rPr>
        <w:t>образования - не «человек обра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зованный», а «человек культуры».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не случайно, третья модернизация Казахстана – это есть модернизация общественного сознания, в соответствии с которой вопросы воспитания сегодня находятся в приоритете.</w:t>
      </w:r>
    </w:p>
    <w:p w:rsidR="00626EA9" w:rsidRDefault="00626EA9" w:rsidP="00626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EA9" w:rsidRPr="00053F01" w:rsidRDefault="00626EA9" w:rsidP="00626E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УВР </w:t>
      </w:r>
      <w:r w:rsidR="00F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F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Беркенова</w:t>
      </w:r>
      <w:proofErr w:type="spellEnd"/>
      <w:r w:rsidR="00F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Г.С.</w:t>
      </w:r>
    </w:p>
    <w:p w:rsidR="00626EA9" w:rsidRDefault="00626EA9" w:rsidP="00626EA9"/>
    <w:p w:rsidR="00626EA9" w:rsidRDefault="00626EA9" w:rsidP="00626E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6EA9" w:rsidRDefault="00626EA9" w:rsidP="00626E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6EA9" w:rsidRDefault="00626EA9" w:rsidP="00626EA9"/>
    <w:p w:rsidR="00F55F0F" w:rsidRDefault="00F55F0F"/>
    <w:sectPr w:rsidR="00F5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EC"/>
    <w:rsid w:val="000B2F99"/>
    <w:rsid w:val="000B6BE9"/>
    <w:rsid w:val="001C0DD8"/>
    <w:rsid w:val="001E0479"/>
    <w:rsid w:val="002D099B"/>
    <w:rsid w:val="003D0DE1"/>
    <w:rsid w:val="004C2E2C"/>
    <w:rsid w:val="006218EA"/>
    <w:rsid w:val="00626EA9"/>
    <w:rsid w:val="00707F85"/>
    <w:rsid w:val="007B532C"/>
    <w:rsid w:val="008D78B0"/>
    <w:rsid w:val="00982BF3"/>
    <w:rsid w:val="009A6D81"/>
    <w:rsid w:val="00B1527E"/>
    <w:rsid w:val="00C55FEC"/>
    <w:rsid w:val="00C93E9A"/>
    <w:rsid w:val="00E47C6F"/>
    <w:rsid w:val="00F55F0F"/>
    <w:rsid w:val="00FD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6EA9"/>
    <w:rPr>
      <w:i/>
      <w:iCs/>
    </w:rPr>
  </w:style>
  <w:style w:type="paragraph" w:styleId="a4">
    <w:name w:val="List Paragraph"/>
    <w:basedOn w:val="a"/>
    <w:uiPriority w:val="34"/>
    <w:qFormat/>
    <w:rsid w:val="00626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6EA9"/>
    <w:rPr>
      <w:i/>
      <w:iCs/>
    </w:rPr>
  </w:style>
  <w:style w:type="paragraph" w:styleId="a4">
    <w:name w:val="List Paragraph"/>
    <w:basedOn w:val="a"/>
    <w:uiPriority w:val="34"/>
    <w:qFormat/>
    <w:rsid w:val="00626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kgu</cp:lastModifiedBy>
  <cp:revision>19</cp:revision>
  <cp:lastPrinted>2017-12-22T04:41:00Z</cp:lastPrinted>
  <dcterms:created xsi:type="dcterms:W3CDTF">2017-12-11T03:16:00Z</dcterms:created>
  <dcterms:modified xsi:type="dcterms:W3CDTF">2017-12-22T11:48:00Z</dcterms:modified>
</cp:coreProperties>
</file>