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B0" w:rsidRPr="00B5526A" w:rsidRDefault="00574EB0" w:rsidP="00574EB0">
      <w:pPr>
        <w:jc w:val="right"/>
        <w:rPr>
          <w:b/>
          <w:color w:val="FF0000"/>
          <w:sz w:val="24"/>
          <w:szCs w:val="24"/>
        </w:rPr>
      </w:pPr>
    </w:p>
    <w:tbl>
      <w:tblPr>
        <w:tblW w:w="9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5019"/>
      </w:tblGrid>
      <w:tr w:rsidR="00D9567C" w:rsidRPr="00B5526A" w:rsidTr="007D3D7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7C" w:rsidRPr="00B5526A" w:rsidRDefault="00D9567C" w:rsidP="007D3D76">
            <w:pPr>
              <w:jc w:val="center"/>
              <w:rPr>
                <w:rStyle w:val="s1"/>
                <w:sz w:val="24"/>
                <w:szCs w:val="24"/>
                <w:lang w:val="kk-KZ"/>
              </w:rPr>
            </w:pPr>
            <w:r w:rsidRPr="00B5526A">
              <w:rPr>
                <w:rStyle w:val="s1"/>
                <w:sz w:val="24"/>
                <w:szCs w:val="24"/>
                <w:lang w:val="kk-KZ"/>
              </w:rPr>
              <w:t>«А.Байтұрсынов атындағы</w:t>
            </w:r>
          </w:p>
          <w:p w:rsidR="00D9567C" w:rsidRPr="00B5526A" w:rsidRDefault="00D9567C" w:rsidP="007D3D76">
            <w:pPr>
              <w:jc w:val="center"/>
              <w:rPr>
                <w:rStyle w:val="s1"/>
                <w:sz w:val="24"/>
                <w:szCs w:val="24"/>
                <w:lang w:val="kk-KZ"/>
              </w:rPr>
            </w:pPr>
            <w:r w:rsidRPr="00B5526A">
              <w:rPr>
                <w:rStyle w:val="s1"/>
                <w:sz w:val="24"/>
                <w:szCs w:val="24"/>
                <w:lang w:val="kk-KZ"/>
              </w:rPr>
              <w:t>Қостанай мемлекеттік университеті»</w:t>
            </w:r>
          </w:p>
          <w:p w:rsidR="00D9567C" w:rsidRPr="00B5526A" w:rsidRDefault="00D9567C" w:rsidP="007D3D76">
            <w:pPr>
              <w:jc w:val="center"/>
              <w:rPr>
                <w:sz w:val="24"/>
                <w:szCs w:val="24"/>
                <w:lang w:val="kk-KZ"/>
              </w:rPr>
            </w:pPr>
            <w:r w:rsidRPr="00B5526A">
              <w:rPr>
                <w:rStyle w:val="s1"/>
                <w:sz w:val="24"/>
                <w:szCs w:val="24"/>
                <w:lang w:val="kk-KZ"/>
              </w:rPr>
              <w:t>РМК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7C" w:rsidRPr="00B5526A" w:rsidRDefault="00D9567C" w:rsidP="007D3D76">
            <w:pPr>
              <w:jc w:val="center"/>
              <w:rPr>
                <w:rStyle w:val="s1"/>
                <w:sz w:val="24"/>
                <w:szCs w:val="24"/>
                <w:lang w:val="kk-KZ"/>
              </w:rPr>
            </w:pPr>
            <w:r w:rsidRPr="00B5526A">
              <w:rPr>
                <w:rStyle w:val="s1"/>
                <w:sz w:val="24"/>
                <w:szCs w:val="24"/>
                <w:lang w:val="kk-KZ"/>
              </w:rPr>
              <w:t>РГП «Костанайский</w:t>
            </w:r>
          </w:p>
          <w:p w:rsidR="00D9567C" w:rsidRPr="00B5526A" w:rsidRDefault="00D9567C" w:rsidP="007D3D76">
            <w:pPr>
              <w:jc w:val="center"/>
              <w:rPr>
                <w:rStyle w:val="s1"/>
                <w:sz w:val="24"/>
                <w:szCs w:val="24"/>
                <w:lang w:val="kk-KZ"/>
              </w:rPr>
            </w:pPr>
            <w:r w:rsidRPr="00B5526A">
              <w:rPr>
                <w:rStyle w:val="s1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D9567C" w:rsidRPr="00B5526A" w:rsidRDefault="00D9567C" w:rsidP="007D3D76">
            <w:pPr>
              <w:jc w:val="center"/>
              <w:rPr>
                <w:sz w:val="24"/>
                <w:szCs w:val="24"/>
                <w:lang w:val="kk-KZ"/>
              </w:rPr>
            </w:pPr>
            <w:r w:rsidRPr="00B5526A">
              <w:rPr>
                <w:rStyle w:val="s1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D9567C" w:rsidRPr="00B5526A" w:rsidTr="007D3D7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7C" w:rsidRPr="00B5526A" w:rsidRDefault="00D9567C" w:rsidP="007D3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7C" w:rsidRPr="00B5526A" w:rsidRDefault="00D9567C" w:rsidP="007D3D76">
            <w:pPr>
              <w:jc w:val="center"/>
              <w:rPr>
                <w:sz w:val="24"/>
                <w:szCs w:val="24"/>
              </w:rPr>
            </w:pPr>
          </w:p>
        </w:tc>
      </w:tr>
      <w:tr w:rsidR="00D9567C" w:rsidRPr="00B5526A" w:rsidTr="007D3D7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7C" w:rsidRPr="00B5526A" w:rsidRDefault="00D9567C" w:rsidP="007D3D76">
            <w:pPr>
              <w:jc w:val="center"/>
              <w:rPr>
                <w:rStyle w:val="s1"/>
                <w:b/>
                <w:sz w:val="24"/>
                <w:szCs w:val="24"/>
                <w:lang w:val="en-US"/>
              </w:rPr>
            </w:pPr>
            <w:r w:rsidRPr="00B5526A">
              <w:rPr>
                <w:rStyle w:val="s1"/>
                <w:b/>
                <w:sz w:val="24"/>
                <w:szCs w:val="24"/>
                <w:lang w:val="kk-KZ"/>
              </w:rPr>
              <w:t>ШЕШІМІ</w:t>
            </w:r>
          </w:p>
          <w:p w:rsidR="00D9567C" w:rsidRPr="00B5526A" w:rsidRDefault="00D9567C" w:rsidP="007D3D76">
            <w:pPr>
              <w:jc w:val="center"/>
              <w:rPr>
                <w:rStyle w:val="s1"/>
                <w:sz w:val="24"/>
                <w:szCs w:val="24"/>
                <w:lang w:val="kk-KZ"/>
              </w:rPr>
            </w:pPr>
            <w:r w:rsidRPr="00B5526A">
              <w:rPr>
                <w:rStyle w:val="s1"/>
                <w:sz w:val="24"/>
                <w:szCs w:val="24"/>
                <w:lang w:val="kk-KZ"/>
              </w:rPr>
              <w:t>ғылыми кеңестің</w:t>
            </w:r>
          </w:p>
          <w:p w:rsidR="00D9567C" w:rsidRPr="00B5526A" w:rsidRDefault="00D9567C" w:rsidP="007D3D7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7C" w:rsidRPr="00B5526A" w:rsidRDefault="00D9567C" w:rsidP="007D3D76">
            <w:pPr>
              <w:jc w:val="center"/>
              <w:rPr>
                <w:rStyle w:val="s1"/>
                <w:b/>
                <w:sz w:val="24"/>
                <w:szCs w:val="24"/>
                <w:lang w:val="kk-KZ"/>
              </w:rPr>
            </w:pPr>
            <w:r w:rsidRPr="00B5526A">
              <w:rPr>
                <w:rStyle w:val="s1"/>
                <w:b/>
                <w:sz w:val="24"/>
                <w:szCs w:val="24"/>
                <w:lang w:val="kk-KZ"/>
              </w:rPr>
              <w:t>РЕШЕНИЕ</w:t>
            </w:r>
          </w:p>
          <w:p w:rsidR="00D9567C" w:rsidRPr="00B5526A" w:rsidRDefault="00D9567C" w:rsidP="007D3D7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5526A">
              <w:rPr>
                <w:rStyle w:val="s1"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D9567C" w:rsidRPr="00B5526A" w:rsidTr="007D3D7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7C" w:rsidRPr="00B5526A" w:rsidRDefault="00A52458" w:rsidP="00A52458">
            <w:pPr>
              <w:jc w:val="center"/>
              <w:rPr>
                <w:sz w:val="24"/>
                <w:szCs w:val="24"/>
                <w:lang w:val="kk-KZ"/>
              </w:rPr>
            </w:pPr>
            <w:r w:rsidRPr="00B5526A">
              <w:rPr>
                <w:sz w:val="24"/>
                <w:szCs w:val="24"/>
                <w:lang w:val="kk-KZ"/>
              </w:rPr>
              <w:t>27</w:t>
            </w:r>
            <w:r w:rsidR="00D9567C" w:rsidRPr="00B5526A">
              <w:rPr>
                <w:sz w:val="24"/>
                <w:szCs w:val="24"/>
                <w:lang w:val="kk-KZ"/>
              </w:rPr>
              <w:t>.01.2017 ж.</w:t>
            </w:r>
          </w:p>
          <w:p w:rsidR="00D9567C" w:rsidRPr="00B5526A" w:rsidRDefault="00D9567C" w:rsidP="00A52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7C" w:rsidRPr="00B5526A" w:rsidRDefault="00D9567C" w:rsidP="00FE4F50">
            <w:pPr>
              <w:jc w:val="center"/>
              <w:rPr>
                <w:sz w:val="24"/>
                <w:szCs w:val="24"/>
                <w:lang w:val="kk-KZ"/>
              </w:rPr>
            </w:pPr>
            <w:r w:rsidRPr="00B5526A">
              <w:rPr>
                <w:sz w:val="24"/>
                <w:szCs w:val="24"/>
                <w:lang w:val="kk-KZ"/>
              </w:rPr>
              <w:t>№</w:t>
            </w:r>
            <w:r w:rsidR="00576DB8">
              <w:rPr>
                <w:sz w:val="24"/>
                <w:szCs w:val="24"/>
                <w:lang w:val="kk-KZ"/>
              </w:rPr>
              <w:t xml:space="preserve"> 2</w:t>
            </w:r>
            <w:r w:rsidRPr="00B5526A">
              <w:rPr>
                <w:sz w:val="24"/>
                <w:szCs w:val="24"/>
                <w:lang w:val="kk-KZ"/>
              </w:rPr>
              <w:t>-</w:t>
            </w:r>
            <w:r w:rsidR="00FE4F50" w:rsidRPr="00B5526A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D9567C" w:rsidRPr="00B5526A" w:rsidRDefault="00D9567C" w:rsidP="00917CFD">
      <w:pPr>
        <w:tabs>
          <w:tab w:val="left" w:pos="6521"/>
        </w:tabs>
        <w:ind w:firstLine="567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 xml:space="preserve">Қостанай қаласы                        </w:t>
      </w:r>
      <w:r w:rsidR="00917CFD">
        <w:rPr>
          <w:sz w:val="24"/>
          <w:szCs w:val="24"/>
          <w:lang w:val="kk-KZ"/>
        </w:rPr>
        <w:t xml:space="preserve">                        </w:t>
      </w:r>
      <w:r w:rsidRPr="00B5526A">
        <w:rPr>
          <w:sz w:val="24"/>
          <w:szCs w:val="24"/>
          <w:lang w:val="kk-KZ"/>
        </w:rPr>
        <w:t xml:space="preserve">                город Костанай</w:t>
      </w:r>
    </w:p>
    <w:p w:rsidR="00D9567C" w:rsidRPr="00B5526A" w:rsidRDefault="00D9567C" w:rsidP="00D9567C">
      <w:pPr>
        <w:ind w:firstLine="709"/>
        <w:rPr>
          <w:sz w:val="24"/>
          <w:szCs w:val="24"/>
          <w:lang w:val="kk-KZ"/>
        </w:rPr>
      </w:pPr>
    </w:p>
    <w:p w:rsidR="00D9567C" w:rsidRPr="00B5526A" w:rsidRDefault="00D9567C" w:rsidP="00D9567C">
      <w:pPr>
        <w:ind w:firstLine="567"/>
        <w:rPr>
          <w:rFonts w:cs="Times New Roman"/>
          <w:spacing w:val="-2"/>
          <w:sz w:val="24"/>
          <w:szCs w:val="24"/>
          <w:lang w:val="kk-KZ"/>
        </w:rPr>
      </w:pPr>
      <w:r w:rsidRPr="00B5526A">
        <w:rPr>
          <w:spacing w:val="-2"/>
          <w:sz w:val="24"/>
          <w:szCs w:val="24"/>
          <w:lang w:val="kk-KZ"/>
        </w:rPr>
        <w:t>Ғылыми жұмыс және сыртқы байланыстар жөніндегі проректор Ж.Б. Жарлығасовтың «Университеттің 2016 жыл</w:t>
      </w:r>
      <w:r w:rsidR="002C2E68" w:rsidRPr="00B5526A">
        <w:rPr>
          <w:spacing w:val="-2"/>
          <w:sz w:val="24"/>
          <w:szCs w:val="24"/>
          <w:lang w:val="kk-KZ"/>
        </w:rPr>
        <w:t>ғы</w:t>
      </w:r>
      <w:r w:rsidRPr="00B5526A">
        <w:rPr>
          <w:spacing w:val="-2"/>
          <w:sz w:val="24"/>
          <w:szCs w:val="24"/>
          <w:lang w:val="kk-KZ"/>
        </w:rPr>
        <w:t xml:space="preserve"> ғылыми-зерттеу жұмысының нәтижелері және 2017 </w:t>
      </w:r>
      <w:r w:rsidR="00B5526A" w:rsidRPr="00B5526A">
        <w:rPr>
          <w:spacing w:val="-2"/>
          <w:sz w:val="24"/>
          <w:szCs w:val="24"/>
          <w:lang w:val="kk-KZ"/>
        </w:rPr>
        <w:t>жылғы</w:t>
      </w:r>
      <w:r w:rsidRPr="00B5526A">
        <w:rPr>
          <w:spacing w:val="-2"/>
          <w:sz w:val="24"/>
          <w:szCs w:val="24"/>
          <w:lang w:val="kk-KZ"/>
        </w:rPr>
        <w:t xml:space="preserve"> ҒЗЖ-ның негізгі бағыттары</w:t>
      </w:r>
      <w:r w:rsidR="002C2E68" w:rsidRPr="00B5526A">
        <w:rPr>
          <w:spacing w:val="-2"/>
          <w:sz w:val="24"/>
          <w:szCs w:val="24"/>
          <w:lang w:val="kk-KZ"/>
        </w:rPr>
        <w:t>. ҒЗЖ 2017 жылғы жоспарын бекіту</w:t>
      </w:r>
      <w:r w:rsidR="009C156E" w:rsidRPr="00B5526A">
        <w:rPr>
          <w:spacing w:val="-2"/>
          <w:sz w:val="24"/>
          <w:szCs w:val="24"/>
          <w:lang w:val="kk-KZ"/>
        </w:rPr>
        <w:t xml:space="preserve">» </w:t>
      </w:r>
      <w:r w:rsidRPr="00B5526A">
        <w:rPr>
          <w:spacing w:val="-2"/>
          <w:sz w:val="24"/>
          <w:szCs w:val="24"/>
          <w:lang w:val="kk-KZ"/>
        </w:rPr>
        <w:t>баяндамасын тыңдап</w:t>
      </w:r>
      <w:r w:rsidRPr="00B5526A">
        <w:rPr>
          <w:rFonts w:cs="Times New Roman"/>
          <w:spacing w:val="-2"/>
          <w:sz w:val="24"/>
          <w:szCs w:val="24"/>
          <w:lang w:val="kk-KZ"/>
        </w:rPr>
        <w:t xml:space="preserve"> және талқылап, ғылыми кеңес бағдарламалық құжаттарға сәйкес университет ұжымымен ҒЗ және ТКЖ бағыттары бойынша айтарлықтай жұмыс жүргізілгенін ескерді. Сонымен қатар, білім, ғылым жән</w:t>
      </w:r>
      <w:r w:rsidR="002C2E68" w:rsidRPr="00B5526A">
        <w:rPr>
          <w:rFonts w:cs="Times New Roman"/>
          <w:spacing w:val="-2"/>
          <w:sz w:val="24"/>
          <w:szCs w:val="24"/>
          <w:lang w:val="kk-KZ"/>
        </w:rPr>
        <w:t>е өндіріс</w:t>
      </w:r>
      <w:r w:rsidR="009C156E" w:rsidRPr="00B5526A">
        <w:rPr>
          <w:rFonts w:cs="Times New Roman"/>
          <w:spacing w:val="-2"/>
          <w:sz w:val="24"/>
          <w:szCs w:val="24"/>
          <w:lang w:val="kk-KZ"/>
        </w:rPr>
        <w:t>тің</w:t>
      </w:r>
      <w:r w:rsidR="002C2E68" w:rsidRPr="00B5526A">
        <w:rPr>
          <w:rFonts w:cs="Times New Roman"/>
          <w:spacing w:val="-2"/>
          <w:sz w:val="24"/>
          <w:szCs w:val="24"/>
          <w:lang w:val="kk-KZ"/>
        </w:rPr>
        <w:t xml:space="preserve"> интеграциясының ұлғаю</w:t>
      </w:r>
      <w:r w:rsidRPr="00B5526A">
        <w:rPr>
          <w:rFonts w:cs="Times New Roman"/>
          <w:spacing w:val="-2"/>
          <w:sz w:val="24"/>
          <w:szCs w:val="24"/>
          <w:lang w:val="kk-KZ"/>
        </w:rPr>
        <w:t xml:space="preserve"> жағдайында университет ұжымының толығымен белсендендірілуі талап етіледі. Осыған орай ғылыми кеңес</w:t>
      </w:r>
    </w:p>
    <w:p w:rsidR="00D9567C" w:rsidRPr="00B5526A" w:rsidRDefault="00D9567C" w:rsidP="00D9567C">
      <w:pPr>
        <w:rPr>
          <w:rFonts w:cs="Times New Roman"/>
          <w:b/>
          <w:sz w:val="24"/>
          <w:szCs w:val="24"/>
          <w:lang w:val="kk-KZ"/>
        </w:rPr>
      </w:pPr>
      <w:r w:rsidRPr="00B5526A">
        <w:rPr>
          <w:rFonts w:cs="Times New Roman"/>
          <w:b/>
          <w:sz w:val="24"/>
          <w:szCs w:val="24"/>
          <w:lang w:val="kk-KZ"/>
        </w:rPr>
        <w:t>ШЕШТІ:</w:t>
      </w:r>
    </w:p>
    <w:p w:rsidR="00D9567C" w:rsidRPr="00B5526A" w:rsidRDefault="00D9567C" w:rsidP="00D9567C">
      <w:pPr>
        <w:ind w:firstLine="709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1.Университеттің ПОҚ-ның</w:t>
      </w:r>
      <w:r w:rsidRPr="00B5526A">
        <w:rPr>
          <w:rFonts w:cs="Times New Roman"/>
          <w:sz w:val="24"/>
          <w:szCs w:val="24"/>
          <w:lang w:val="kk-KZ"/>
        </w:rPr>
        <w:t>,</w:t>
      </w:r>
      <w:r w:rsidRPr="00B5526A">
        <w:rPr>
          <w:sz w:val="24"/>
          <w:szCs w:val="24"/>
          <w:lang w:val="kk-KZ"/>
        </w:rPr>
        <w:t xml:space="preserve"> ғылыми бө</w:t>
      </w:r>
      <w:r w:rsidR="002C2E68" w:rsidRPr="00B5526A">
        <w:rPr>
          <w:sz w:val="24"/>
          <w:szCs w:val="24"/>
          <w:lang w:val="kk-KZ"/>
        </w:rPr>
        <w:t>л</w:t>
      </w:r>
      <w:r w:rsidRPr="00B5526A">
        <w:rPr>
          <w:sz w:val="24"/>
          <w:szCs w:val="24"/>
          <w:lang w:val="kk-KZ"/>
        </w:rPr>
        <w:t>ім</w:t>
      </w:r>
      <w:r w:rsidR="009C156E" w:rsidRPr="00B5526A">
        <w:rPr>
          <w:sz w:val="24"/>
          <w:szCs w:val="24"/>
          <w:lang w:val="kk-KZ"/>
        </w:rPr>
        <w:t>шелерінің ғылыми-зерттеу жұмысы қанағаттанарлық деп танылсын</w:t>
      </w:r>
      <w:r w:rsidRPr="00B5526A">
        <w:rPr>
          <w:sz w:val="24"/>
          <w:szCs w:val="24"/>
          <w:lang w:val="kk-KZ"/>
        </w:rPr>
        <w:t>.</w:t>
      </w:r>
    </w:p>
    <w:p w:rsidR="00D9567C" w:rsidRPr="00B5526A" w:rsidRDefault="00D9567C" w:rsidP="00D9567C">
      <w:pPr>
        <w:ind w:firstLine="709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2. ҒЗЖ коммерцияландырылуын қамтамасыз етіп</w:t>
      </w:r>
      <w:r w:rsidRPr="00B5526A">
        <w:rPr>
          <w:rFonts w:cs="Times New Roman"/>
          <w:sz w:val="24"/>
          <w:szCs w:val="24"/>
          <w:lang w:val="kk-KZ"/>
        </w:rPr>
        <w:t>,</w:t>
      </w:r>
      <w:r w:rsidRPr="00B5526A">
        <w:rPr>
          <w:sz w:val="24"/>
          <w:szCs w:val="24"/>
          <w:lang w:val="kk-KZ"/>
        </w:rPr>
        <w:t xml:space="preserve"> университеттің 2020 жылға дейінгі стратегиялық жоспары көрсеткіштері </w:t>
      </w:r>
      <w:r w:rsidR="00B5526A" w:rsidRPr="00B5526A">
        <w:rPr>
          <w:sz w:val="24"/>
          <w:szCs w:val="24"/>
          <w:lang w:val="kk-KZ"/>
        </w:rPr>
        <w:t>мен</w:t>
      </w:r>
      <w:r w:rsidRPr="00B5526A">
        <w:rPr>
          <w:sz w:val="24"/>
          <w:szCs w:val="24"/>
          <w:lang w:val="kk-KZ"/>
        </w:rPr>
        <w:t xml:space="preserve"> рейтингтік нормативті тапсы</w:t>
      </w:r>
      <w:r w:rsidR="009C156E" w:rsidRPr="00B5526A">
        <w:rPr>
          <w:sz w:val="24"/>
          <w:szCs w:val="24"/>
          <w:lang w:val="kk-KZ"/>
        </w:rPr>
        <w:t>рмалар негізінде инвестициялар тартылсын</w:t>
      </w:r>
    </w:p>
    <w:p w:rsidR="00D9567C" w:rsidRPr="00B5526A" w:rsidRDefault="00D9567C" w:rsidP="009C156E">
      <w:pPr>
        <w:ind w:left="5103"/>
        <w:jc w:val="left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Ғж</w:t>
      </w:r>
      <w:r w:rsidR="009C156E" w:rsidRPr="00B5526A">
        <w:rPr>
          <w:sz w:val="24"/>
          <w:szCs w:val="24"/>
          <w:lang w:val="kk-KZ"/>
        </w:rPr>
        <w:t>әне</w:t>
      </w:r>
      <w:r w:rsidRPr="00B5526A">
        <w:rPr>
          <w:sz w:val="24"/>
          <w:szCs w:val="24"/>
          <w:lang w:val="kk-KZ"/>
        </w:rPr>
        <w:t>ЖООКБ басқармасы</w:t>
      </w:r>
      <w:r w:rsidR="009C156E" w:rsidRPr="00B5526A">
        <w:rPr>
          <w:sz w:val="24"/>
          <w:szCs w:val="24"/>
          <w:lang w:val="kk-KZ"/>
        </w:rPr>
        <w:t>ның</w:t>
      </w:r>
      <w:r w:rsidRPr="00B5526A">
        <w:rPr>
          <w:sz w:val="24"/>
          <w:szCs w:val="24"/>
          <w:lang w:val="kk-KZ"/>
        </w:rPr>
        <w:t xml:space="preserve"> бастығы</w:t>
      </w:r>
      <w:r w:rsidR="009C156E" w:rsidRPr="00B5526A">
        <w:rPr>
          <w:sz w:val="24"/>
          <w:szCs w:val="24"/>
          <w:lang w:val="kk-KZ"/>
        </w:rPr>
        <w:t>,</w:t>
      </w:r>
    </w:p>
    <w:p w:rsidR="00D9567C" w:rsidRPr="00B5526A" w:rsidRDefault="009C156E" w:rsidP="009C156E">
      <w:pPr>
        <w:ind w:left="5103"/>
        <w:jc w:val="left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ф</w:t>
      </w:r>
      <w:r w:rsidR="00D9567C" w:rsidRPr="00B5526A">
        <w:rPr>
          <w:sz w:val="24"/>
          <w:szCs w:val="24"/>
          <w:lang w:val="kk-KZ"/>
        </w:rPr>
        <w:t>акультет декандары</w:t>
      </w:r>
      <w:r w:rsidR="00D9567C" w:rsidRPr="00B5526A">
        <w:rPr>
          <w:rFonts w:cs="Times New Roman"/>
          <w:sz w:val="24"/>
          <w:szCs w:val="24"/>
          <w:lang w:val="kk-KZ"/>
        </w:rPr>
        <w:t>,</w:t>
      </w:r>
      <w:r w:rsidR="00D9567C" w:rsidRPr="00B5526A">
        <w:rPr>
          <w:sz w:val="24"/>
          <w:szCs w:val="24"/>
          <w:lang w:val="kk-KZ"/>
        </w:rPr>
        <w:t xml:space="preserve"> кафедра меңгерушілері</w:t>
      </w:r>
    </w:p>
    <w:p w:rsidR="00D9567C" w:rsidRPr="00B5526A" w:rsidRDefault="00D9567C" w:rsidP="00933C5C">
      <w:pPr>
        <w:ind w:left="5103"/>
        <w:jc w:val="left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жыл бойы</w:t>
      </w:r>
    </w:p>
    <w:p w:rsidR="00D9567C" w:rsidRPr="00B5526A" w:rsidRDefault="00D9567C" w:rsidP="00D9567C">
      <w:pPr>
        <w:ind w:firstLine="709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 xml:space="preserve">3. ҒЗТКЖ және оқу </w:t>
      </w:r>
      <w:r w:rsidR="009C156E" w:rsidRPr="00B5526A">
        <w:rPr>
          <w:sz w:val="24"/>
          <w:szCs w:val="24"/>
          <w:lang w:val="kk-KZ"/>
        </w:rPr>
        <w:t>үрдісінде жұмыстың болашақ</w:t>
      </w:r>
      <w:r w:rsidR="004C21AD" w:rsidRPr="00B5526A">
        <w:rPr>
          <w:sz w:val="24"/>
          <w:szCs w:val="24"/>
          <w:lang w:val="kk-KZ"/>
        </w:rPr>
        <w:t xml:space="preserve"> жоспарларын</w:t>
      </w:r>
      <w:r w:rsidRPr="00B5526A">
        <w:rPr>
          <w:sz w:val="24"/>
          <w:szCs w:val="24"/>
          <w:lang w:val="kk-KZ"/>
        </w:rPr>
        <w:t xml:space="preserve"> әзірлеу және жүзеге асыру негізінде ғылыми-зерттеу зертханаларының нәтижелі жұмыс істеу</w:t>
      </w:r>
      <w:r w:rsidR="004C21AD" w:rsidRPr="00B5526A">
        <w:rPr>
          <w:sz w:val="24"/>
          <w:szCs w:val="24"/>
          <w:lang w:val="kk-KZ"/>
        </w:rPr>
        <w:t>і қамтамасыз етілсін</w:t>
      </w:r>
      <w:r w:rsidRPr="00B5526A">
        <w:rPr>
          <w:sz w:val="24"/>
          <w:szCs w:val="24"/>
          <w:lang w:val="kk-KZ"/>
        </w:rPr>
        <w:t xml:space="preserve"> </w:t>
      </w:r>
    </w:p>
    <w:p w:rsidR="00D9567C" w:rsidRPr="00B5526A" w:rsidRDefault="00D9567C" w:rsidP="00A52458">
      <w:pPr>
        <w:ind w:left="5103"/>
        <w:jc w:val="left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Факультет декандары</w:t>
      </w:r>
      <w:r w:rsidRPr="00B5526A">
        <w:rPr>
          <w:rFonts w:cs="Times New Roman"/>
          <w:sz w:val="24"/>
          <w:szCs w:val="24"/>
          <w:lang w:val="kk-KZ"/>
        </w:rPr>
        <w:t>,</w:t>
      </w:r>
      <w:r w:rsidRPr="00B5526A">
        <w:rPr>
          <w:sz w:val="24"/>
          <w:szCs w:val="24"/>
          <w:lang w:val="kk-KZ"/>
        </w:rPr>
        <w:t xml:space="preserve"> кафедра меңгерушілері</w:t>
      </w:r>
      <w:r w:rsidRPr="00B5526A">
        <w:rPr>
          <w:rFonts w:cs="Times New Roman"/>
          <w:sz w:val="24"/>
          <w:szCs w:val="24"/>
          <w:lang w:val="kk-KZ"/>
        </w:rPr>
        <w:t>,</w:t>
      </w:r>
      <w:r w:rsidRPr="00B5526A">
        <w:rPr>
          <w:sz w:val="24"/>
          <w:szCs w:val="24"/>
          <w:lang w:val="kk-KZ"/>
        </w:rPr>
        <w:t xml:space="preserve"> </w:t>
      </w:r>
      <w:r w:rsidR="004C21AD" w:rsidRPr="00B5526A">
        <w:rPr>
          <w:sz w:val="24"/>
          <w:szCs w:val="24"/>
          <w:lang w:val="kk-KZ"/>
        </w:rPr>
        <w:t>з</w:t>
      </w:r>
      <w:r w:rsidRPr="00B5526A">
        <w:rPr>
          <w:sz w:val="24"/>
          <w:szCs w:val="24"/>
          <w:lang w:val="kk-KZ"/>
        </w:rPr>
        <w:t>ертхана</w:t>
      </w:r>
      <w:r w:rsidR="004C21AD" w:rsidRPr="00B5526A">
        <w:rPr>
          <w:sz w:val="24"/>
          <w:szCs w:val="24"/>
          <w:lang w:val="kk-KZ"/>
        </w:rPr>
        <w:t>лар</w:t>
      </w:r>
      <w:r w:rsidR="00BB1115" w:rsidRPr="00B5526A">
        <w:rPr>
          <w:sz w:val="24"/>
          <w:szCs w:val="24"/>
          <w:lang w:val="kk-KZ"/>
        </w:rPr>
        <w:t xml:space="preserve"> меңгерушілері</w:t>
      </w:r>
    </w:p>
    <w:p w:rsidR="00D9567C" w:rsidRPr="00B5526A" w:rsidRDefault="00D9567C" w:rsidP="00D9567C">
      <w:pPr>
        <w:ind w:left="5103"/>
        <w:jc w:val="left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2017 жылдың 10 ақпанына дейін</w:t>
      </w:r>
    </w:p>
    <w:p w:rsidR="00D9567C" w:rsidRPr="00B5526A" w:rsidRDefault="00D9567C" w:rsidP="004C21AD">
      <w:pPr>
        <w:tabs>
          <w:tab w:val="left" w:pos="993"/>
          <w:tab w:val="left" w:pos="1418"/>
        </w:tabs>
        <w:ind w:firstLine="709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 xml:space="preserve">4. Өткізілетін ғылыми іс-шаралардың ақпараттық қолдауын және ғалымдардың жетістіктерін баспалы және электронды БАҚ </w:t>
      </w:r>
      <w:r w:rsidR="004C21AD" w:rsidRPr="00B5526A">
        <w:rPr>
          <w:sz w:val="24"/>
          <w:szCs w:val="24"/>
          <w:lang w:val="kk-KZ"/>
        </w:rPr>
        <w:t xml:space="preserve">арқылы </w:t>
      </w:r>
      <w:r w:rsidRPr="00B5526A">
        <w:rPr>
          <w:sz w:val="24"/>
          <w:szCs w:val="24"/>
          <w:lang w:val="kk-KZ"/>
        </w:rPr>
        <w:t xml:space="preserve">ақпарат жариялау </w:t>
      </w:r>
      <w:r w:rsidR="004C21AD" w:rsidRPr="00B5526A">
        <w:rPr>
          <w:sz w:val="24"/>
          <w:szCs w:val="24"/>
          <w:lang w:val="kk-KZ"/>
        </w:rPr>
        <w:t>іске асырылсын</w:t>
      </w:r>
      <w:r w:rsidRPr="00B5526A">
        <w:rPr>
          <w:sz w:val="24"/>
          <w:szCs w:val="24"/>
          <w:lang w:val="kk-KZ"/>
        </w:rPr>
        <w:t xml:space="preserve"> </w:t>
      </w:r>
    </w:p>
    <w:p w:rsidR="00D9567C" w:rsidRPr="00B5526A" w:rsidRDefault="004C21AD" w:rsidP="00D9567C">
      <w:pPr>
        <w:ind w:left="4248" w:firstLine="855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 xml:space="preserve">Баспасөз хатшысы, </w:t>
      </w:r>
      <w:r w:rsidR="00D9567C" w:rsidRPr="00B5526A">
        <w:rPr>
          <w:sz w:val="24"/>
          <w:szCs w:val="24"/>
          <w:lang w:val="kk-KZ"/>
        </w:rPr>
        <w:t>медия</w:t>
      </w:r>
      <w:r w:rsidR="00B5526A" w:rsidRPr="00B5526A">
        <w:rPr>
          <w:sz w:val="24"/>
          <w:szCs w:val="24"/>
          <w:lang w:val="kk-KZ"/>
        </w:rPr>
        <w:t xml:space="preserve"> - </w:t>
      </w:r>
      <w:r w:rsidR="00D9567C" w:rsidRPr="00B5526A">
        <w:rPr>
          <w:sz w:val="24"/>
          <w:szCs w:val="24"/>
          <w:lang w:val="kk-KZ"/>
        </w:rPr>
        <w:t>студия</w:t>
      </w:r>
      <w:r w:rsidRPr="00B5526A">
        <w:rPr>
          <w:sz w:val="24"/>
          <w:szCs w:val="24"/>
          <w:lang w:val="kk-KZ"/>
        </w:rPr>
        <w:t>сы</w:t>
      </w:r>
      <w:r w:rsidR="00D9567C" w:rsidRPr="00B5526A">
        <w:rPr>
          <w:sz w:val="24"/>
          <w:szCs w:val="24"/>
          <w:lang w:val="kk-KZ"/>
        </w:rPr>
        <w:t>,</w:t>
      </w:r>
    </w:p>
    <w:p w:rsidR="00D9567C" w:rsidRPr="00B5526A" w:rsidRDefault="004C21AD" w:rsidP="00D9567C">
      <w:pPr>
        <w:ind w:left="4248" w:firstLine="855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к</w:t>
      </w:r>
      <w:r w:rsidR="00BB1115" w:rsidRPr="00B5526A">
        <w:rPr>
          <w:sz w:val="24"/>
          <w:szCs w:val="24"/>
          <w:lang w:val="kk-KZ"/>
        </w:rPr>
        <w:t>афедра меңгерушілері</w:t>
      </w:r>
    </w:p>
    <w:p w:rsidR="00D9567C" w:rsidRPr="00B5526A" w:rsidRDefault="004C21AD" w:rsidP="009C156E">
      <w:pPr>
        <w:ind w:left="4248" w:firstLine="855"/>
        <w:rPr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жыл бойы</w:t>
      </w:r>
    </w:p>
    <w:p w:rsidR="00D9567C" w:rsidRPr="00B5526A" w:rsidRDefault="00D9567C" w:rsidP="00933C5C">
      <w:pPr>
        <w:ind w:firstLine="567"/>
        <w:rPr>
          <w:rFonts w:cs="Times New Roman"/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5. А.Байтұрсынов атындағы ҚМУ-нің 2017</w:t>
      </w:r>
      <w:r w:rsidR="009C156E" w:rsidRPr="00B5526A">
        <w:rPr>
          <w:sz w:val="24"/>
          <w:szCs w:val="24"/>
          <w:lang w:val="kk-KZ"/>
        </w:rPr>
        <w:t xml:space="preserve"> жылғы ҒЗЖ жоспары</w:t>
      </w:r>
      <w:r w:rsidRPr="00B5526A">
        <w:rPr>
          <w:sz w:val="24"/>
          <w:szCs w:val="24"/>
          <w:lang w:val="kk-KZ"/>
        </w:rPr>
        <w:t xml:space="preserve"> бекіт</w:t>
      </w:r>
      <w:r w:rsidR="009C156E" w:rsidRPr="00B5526A">
        <w:rPr>
          <w:sz w:val="24"/>
          <w:szCs w:val="24"/>
          <w:lang w:val="kk-KZ"/>
        </w:rPr>
        <w:t>ілсін</w:t>
      </w:r>
      <w:r w:rsidRPr="00B5526A">
        <w:rPr>
          <w:rFonts w:cs="Times New Roman"/>
          <w:sz w:val="24"/>
          <w:szCs w:val="24"/>
          <w:lang w:val="kk-KZ"/>
        </w:rPr>
        <w:t>.</w:t>
      </w:r>
    </w:p>
    <w:p w:rsidR="00D9567C" w:rsidRPr="00B5526A" w:rsidRDefault="00D9567C" w:rsidP="00D9567C">
      <w:pPr>
        <w:ind w:firstLine="567"/>
        <w:rPr>
          <w:rFonts w:cs="Times New Roman"/>
          <w:sz w:val="24"/>
          <w:szCs w:val="24"/>
          <w:lang w:val="kk-KZ"/>
        </w:rPr>
      </w:pPr>
      <w:r w:rsidRPr="00B5526A">
        <w:rPr>
          <w:sz w:val="24"/>
          <w:szCs w:val="24"/>
          <w:lang w:val="kk-KZ"/>
        </w:rPr>
        <w:t>6. Осы шешімнің орындалуын қадағалау ғылыми жұмыс және сыртқы байланыстар жөніндегі проректор Ж.Б. Жарлығасовқа жүктелсін</w:t>
      </w:r>
      <w:r w:rsidRPr="00B5526A">
        <w:rPr>
          <w:rFonts w:cs="Times New Roman"/>
          <w:sz w:val="24"/>
          <w:szCs w:val="24"/>
          <w:lang w:val="kk-KZ"/>
        </w:rPr>
        <w:t>.</w:t>
      </w:r>
    </w:p>
    <w:p w:rsidR="00091BFA" w:rsidRPr="00B5526A" w:rsidRDefault="00091BFA" w:rsidP="00D228E3">
      <w:pPr>
        <w:ind w:firstLine="567"/>
        <w:rPr>
          <w:rFonts w:cs="Times New Roman"/>
          <w:sz w:val="24"/>
          <w:szCs w:val="24"/>
          <w:lang w:val="kk-KZ"/>
        </w:rPr>
      </w:pPr>
    </w:p>
    <w:p w:rsidR="00774353" w:rsidRDefault="00B5526A" w:rsidP="001A2A8A">
      <w:pPr>
        <w:rPr>
          <w:rFonts w:cs="Times New Roman"/>
          <w:sz w:val="24"/>
          <w:szCs w:val="24"/>
          <w:lang w:val="kk-KZ"/>
        </w:rPr>
      </w:pPr>
      <w:r w:rsidRPr="00CD37B2">
        <w:rPr>
          <w:noProof/>
          <w:sz w:val="24"/>
          <w:szCs w:val="24"/>
          <w:lang w:eastAsia="ru-RU"/>
        </w:rPr>
        <w:drawing>
          <wp:inline distT="0" distB="0" distL="0" distR="0" wp14:anchorId="02BF37DD" wp14:editId="7CCECB7C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6A" w:rsidRDefault="00B5526A" w:rsidP="001A2A8A">
      <w:pPr>
        <w:rPr>
          <w:rFonts w:cs="Times New Roman"/>
          <w:sz w:val="24"/>
          <w:szCs w:val="24"/>
          <w:lang w:val="kk-KZ"/>
        </w:rPr>
      </w:pPr>
    </w:p>
    <w:p w:rsidR="00B5526A" w:rsidRDefault="00B5526A" w:rsidP="001A2A8A">
      <w:pPr>
        <w:rPr>
          <w:rFonts w:cs="Times New Roman"/>
          <w:sz w:val="24"/>
          <w:szCs w:val="24"/>
          <w:lang w:val="kk-KZ"/>
        </w:rPr>
      </w:pPr>
    </w:p>
    <w:p w:rsidR="00B5526A" w:rsidRDefault="00B5526A" w:rsidP="001A2A8A">
      <w:pPr>
        <w:rPr>
          <w:rFonts w:cs="Times New Roman"/>
          <w:sz w:val="24"/>
          <w:szCs w:val="24"/>
          <w:lang w:val="kk-KZ"/>
        </w:rPr>
      </w:pPr>
    </w:p>
    <w:p w:rsidR="00B46C37" w:rsidRPr="00B5526A" w:rsidRDefault="00B46C37" w:rsidP="00B5526A">
      <w:pPr>
        <w:rPr>
          <w:b/>
          <w:color w:val="FF0000"/>
          <w:sz w:val="24"/>
          <w:szCs w:val="24"/>
          <w:lang w:val="kk-KZ"/>
        </w:rPr>
      </w:pPr>
    </w:p>
    <w:p w:rsidR="00933C5C" w:rsidRPr="00B5526A" w:rsidRDefault="00933C5C" w:rsidP="00574EB0">
      <w:pPr>
        <w:ind w:firstLine="567"/>
        <w:jc w:val="right"/>
        <w:rPr>
          <w:b/>
          <w:color w:val="FF0000"/>
          <w:sz w:val="24"/>
          <w:szCs w:val="24"/>
          <w:lang w:val="kk-KZ"/>
        </w:rPr>
      </w:pPr>
    </w:p>
    <w:p w:rsidR="00091BFA" w:rsidRPr="00B5526A" w:rsidRDefault="00091BFA" w:rsidP="00574EB0">
      <w:pPr>
        <w:ind w:firstLine="567"/>
        <w:jc w:val="right"/>
        <w:rPr>
          <w:rFonts w:cs="Times New Roman"/>
          <w:b/>
          <w:sz w:val="24"/>
          <w:szCs w:val="24"/>
          <w:lang w:val="kk-KZ"/>
        </w:rPr>
      </w:pPr>
    </w:p>
    <w:tbl>
      <w:tblPr>
        <w:tblW w:w="9861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5019"/>
      </w:tblGrid>
      <w:tr w:rsidR="004620D2" w:rsidRPr="00B5526A" w:rsidTr="001C6F07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4620D2" w:rsidP="00BB1115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color w:val="000000"/>
                <w:sz w:val="24"/>
                <w:szCs w:val="24"/>
                <w:lang w:val="kk-KZ"/>
              </w:rPr>
              <w:lastRenderedPageBreak/>
              <w:t>«А.Байтұрсынов атындағы</w:t>
            </w:r>
          </w:p>
          <w:p w:rsidR="004620D2" w:rsidRPr="00B5526A" w:rsidRDefault="004620D2" w:rsidP="00091BFA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color w:val="000000"/>
                <w:sz w:val="24"/>
                <w:szCs w:val="24"/>
                <w:lang w:val="kk-KZ"/>
              </w:rPr>
              <w:t>Қостанай мемлекеттік университеті»</w:t>
            </w:r>
          </w:p>
          <w:p w:rsidR="004620D2" w:rsidRPr="00B5526A" w:rsidRDefault="004620D2" w:rsidP="00091BF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color w:val="000000"/>
                <w:sz w:val="24"/>
                <w:szCs w:val="24"/>
                <w:lang w:val="kk-KZ"/>
              </w:rPr>
              <w:t>РМК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4620D2" w:rsidP="00BB1115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4620D2" w:rsidRPr="00B5526A" w:rsidRDefault="004620D2" w:rsidP="00BB1115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4620D2" w:rsidRPr="00B5526A" w:rsidRDefault="004620D2" w:rsidP="00BB11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4620D2" w:rsidRPr="00B5526A" w:rsidTr="001C6F07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4620D2" w:rsidP="00091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4620D2" w:rsidP="00091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20D2" w:rsidRPr="00B5526A" w:rsidTr="001C6F07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4620D2" w:rsidP="00091BFA">
            <w:pPr>
              <w:jc w:val="center"/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B46C37" w:rsidRPr="00B5526A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>І</w:t>
            </w:r>
          </w:p>
          <w:p w:rsidR="004620D2" w:rsidRPr="00B5526A" w:rsidRDefault="004620D2" w:rsidP="00091BFA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color w:val="000000"/>
                <w:sz w:val="24"/>
                <w:szCs w:val="24"/>
                <w:lang w:val="kk-KZ"/>
              </w:rPr>
              <w:t>ғылыми кеңестің</w:t>
            </w:r>
          </w:p>
          <w:p w:rsidR="00091BFA" w:rsidRPr="00B5526A" w:rsidRDefault="00091BFA" w:rsidP="00091BF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4620D2" w:rsidP="00BB1115">
            <w:pPr>
              <w:jc w:val="center"/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4620D2" w:rsidRPr="00B5526A" w:rsidRDefault="004620D2" w:rsidP="00BB1115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rStyle w:val="s1"/>
                <w:color w:val="000000"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4620D2" w:rsidRPr="00B5526A" w:rsidTr="001C6F07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A52458" w:rsidP="00D447A6">
            <w:pPr>
              <w:jc w:val="center"/>
              <w:rPr>
                <w:color w:val="000000"/>
                <w:sz w:val="24"/>
                <w:szCs w:val="24"/>
              </w:rPr>
            </w:pPr>
            <w:r w:rsidRPr="00B5526A">
              <w:rPr>
                <w:color w:val="000000"/>
                <w:sz w:val="24"/>
                <w:szCs w:val="24"/>
                <w:lang w:val="kk-KZ"/>
              </w:rPr>
              <w:t>27</w:t>
            </w:r>
            <w:r w:rsidR="004620D2" w:rsidRPr="00B5526A">
              <w:rPr>
                <w:color w:val="000000"/>
                <w:sz w:val="24"/>
                <w:szCs w:val="24"/>
                <w:lang w:val="kk-KZ"/>
              </w:rPr>
              <w:t>.01.201</w:t>
            </w:r>
            <w:r w:rsidR="002C2E68" w:rsidRPr="00B5526A">
              <w:rPr>
                <w:color w:val="000000"/>
                <w:sz w:val="24"/>
                <w:szCs w:val="24"/>
                <w:lang w:val="kk-KZ"/>
              </w:rPr>
              <w:t>7</w:t>
            </w:r>
            <w:r w:rsidR="004620D2" w:rsidRPr="00B5526A">
              <w:rPr>
                <w:color w:val="000000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4620D2" w:rsidP="00BB1115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B5526A">
              <w:rPr>
                <w:color w:val="000000"/>
                <w:sz w:val="24"/>
                <w:szCs w:val="24"/>
                <w:lang w:val="kk-KZ"/>
              </w:rPr>
              <w:t>№</w:t>
            </w:r>
            <w:r w:rsidR="00576DB8">
              <w:rPr>
                <w:color w:val="000000"/>
                <w:sz w:val="24"/>
                <w:szCs w:val="24"/>
                <w:lang w:val="kk-KZ"/>
              </w:rPr>
              <w:t xml:space="preserve"> 2</w:t>
            </w:r>
            <w:bookmarkStart w:id="0" w:name="_GoBack"/>
            <w:bookmarkEnd w:id="0"/>
            <w:r w:rsidR="001C6F07" w:rsidRPr="00B5526A">
              <w:rPr>
                <w:color w:val="000000"/>
                <w:sz w:val="24"/>
                <w:szCs w:val="24"/>
                <w:lang w:val="kk-KZ"/>
              </w:rPr>
              <w:t>-</w:t>
            </w:r>
            <w:r w:rsidR="00B5526A" w:rsidRPr="00B5526A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4620D2" w:rsidRPr="00B5526A" w:rsidTr="001C6F07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4620D2" w:rsidP="001C6F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0D2" w:rsidRPr="00B5526A" w:rsidRDefault="004620D2" w:rsidP="00091B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620D2" w:rsidRPr="00B5526A" w:rsidRDefault="00917CFD" w:rsidP="00774353">
      <w:pPr>
        <w:ind w:left="7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</w:t>
      </w:r>
      <w:r w:rsidR="004620D2" w:rsidRPr="00B5526A">
        <w:rPr>
          <w:sz w:val="24"/>
          <w:szCs w:val="24"/>
          <w:lang w:val="kk-KZ"/>
        </w:rPr>
        <w:t xml:space="preserve">Қостанай қаласы                                         </w:t>
      </w:r>
      <w:r w:rsidR="00091BFA" w:rsidRPr="00B5526A">
        <w:rPr>
          <w:sz w:val="24"/>
          <w:szCs w:val="24"/>
          <w:lang w:val="kk-KZ"/>
        </w:rPr>
        <w:t xml:space="preserve"> </w:t>
      </w:r>
      <w:r w:rsidR="00774353" w:rsidRPr="00B5526A">
        <w:rPr>
          <w:sz w:val="24"/>
          <w:szCs w:val="24"/>
          <w:lang w:val="kk-KZ"/>
        </w:rPr>
        <w:t xml:space="preserve">  </w:t>
      </w:r>
      <w:r w:rsidR="00B46C37" w:rsidRPr="00B5526A">
        <w:rPr>
          <w:sz w:val="24"/>
          <w:szCs w:val="24"/>
          <w:lang w:val="kk-KZ"/>
        </w:rPr>
        <w:t xml:space="preserve">    </w:t>
      </w:r>
      <w:r w:rsidR="004620D2" w:rsidRPr="00B5526A">
        <w:rPr>
          <w:sz w:val="24"/>
          <w:szCs w:val="24"/>
          <w:lang w:val="kk-KZ"/>
        </w:rPr>
        <w:t xml:space="preserve"> </w:t>
      </w:r>
      <w:r w:rsidR="00B46C37" w:rsidRPr="00B5526A"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  <w:lang w:val="kk-KZ"/>
        </w:rPr>
        <w:t xml:space="preserve">     </w:t>
      </w:r>
      <w:r w:rsidR="00B46C37" w:rsidRPr="00B5526A">
        <w:rPr>
          <w:sz w:val="24"/>
          <w:szCs w:val="24"/>
          <w:lang w:val="kk-KZ"/>
        </w:rPr>
        <w:t xml:space="preserve"> </w:t>
      </w:r>
      <w:r w:rsidR="004620D2" w:rsidRPr="00B5526A">
        <w:rPr>
          <w:sz w:val="24"/>
          <w:szCs w:val="24"/>
          <w:lang w:val="kk-KZ"/>
        </w:rPr>
        <w:t>город Костанай</w:t>
      </w:r>
    </w:p>
    <w:p w:rsidR="004620D2" w:rsidRPr="00B5526A" w:rsidRDefault="004620D2" w:rsidP="004F2A62">
      <w:pPr>
        <w:ind w:firstLine="709"/>
        <w:rPr>
          <w:sz w:val="24"/>
          <w:szCs w:val="24"/>
          <w:lang w:val="kk-KZ"/>
        </w:rPr>
      </w:pPr>
    </w:p>
    <w:p w:rsidR="004620D2" w:rsidRPr="00B5526A" w:rsidRDefault="004620D2" w:rsidP="00BB1115">
      <w:pPr>
        <w:ind w:firstLine="567"/>
        <w:contextualSpacing/>
        <w:rPr>
          <w:rStyle w:val="s1"/>
          <w:rFonts w:cs="Times New Roman"/>
          <w:spacing w:val="-2"/>
          <w:sz w:val="24"/>
          <w:szCs w:val="24"/>
          <w:lang w:val="kk-KZ"/>
        </w:rPr>
      </w:pPr>
      <w:r w:rsidRPr="00B5526A">
        <w:rPr>
          <w:rFonts w:cs="Times New Roman"/>
          <w:spacing w:val="-2"/>
          <w:sz w:val="24"/>
          <w:szCs w:val="24"/>
        </w:rPr>
        <w:t xml:space="preserve">Заслушав и обсудив </w:t>
      </w:r>
      <w:r w:rsidRPr="00B5526A">
        <w:rPr>
          <w:rFonts w:cs="Times New Roman"/>
          <w:spacing w:val="-2"/>
          <w:sz w:val="24"/>
          <w:szCs w:val="24"/>
          <w:lang w:val="kk-KZ"/>
        </w:rPr>
        <w:t xml:space="preserve">доклад проректора по научной работе и внешним связям Жарлыгасова Ж. Б. </w:t>
      </w:r>
      <w:r w:rsidRPr="00B5526A">
        <w:rPr>
          <w:rFonts w:cs="Times New Roman"/>
          <w:spacing w:val="-2"/>
          <w:sz w:val="24"/>
          <w:szCs w:val="24"/>
        </w:rPr>
        <w:t>«</w:t>
      </w:r>
      <w:r w:rsidRPr="00B5526A">
        <w:rPr>
          <w:rFonts w:cs="Times New Roman"/>
          <w:bCs/>
          <w:spacing w:val="-2"/>
          <w:sz w:val="24"/>
          <w:szCs w:val="24"/>
          <w:lang w:val="kk-KZ"/>
        </w:rPr>
        <w:t>Итоги научно-исследовательской работы университета за 201</w:t>
      </w:r>
      <w:r w:rsidR="00165B92" w:rsidRPr="00B5526A">
        <w:rPr>
          <w:rFonts w:cs="Times New Roman"/>
          <w:bCs/>
          <w:spacing w:val="-2"/>
          <w:sz w:val="24"/>
          <w:szCs w:val="24"/>
          <w:lang w:val="kk-KZ"/>
        </w:rPr>
        <w:t>6</w:t>
      </w:r>
      <w:r w:rsidRPr="00B5526A">
        <w:rPr>
          <w:rFonts w:cs="Times New Roman"/>
          <w:bCs/>
          <w:spacing w:val="-2"/>
          <w:sz w:val="24"/>
          <w:szCs w:val="24"/>
          <w:lang w:val="kk-KZ"/>
        </w:rPr>
        <w:t xml:space="preserve"> год и основные направления НИР в 201</w:t>
      </w:r>
      <w:r w:rsidR="00165B92" w:rsidRPr="00B5526A">
        <w:rPr>
          <w:rFonts w:cs="Times New Roman"/>
          <w:bCs/>
          <w:spacing w:val="-2"/>
          <w:sz w:val="24"/>
          <w:szCs w:val="24"/>
          <w:lang w:val="kk-KZ"/>
        </w:rPr>
        <w:t>7</w:t>
      </w:r>
      <w:r w:rsidRPr="00B5526A">
        <w:rPr>
          <w:rFonts w:cs="Times New Roman"/>
          <w:bCs/>
          <w:spacing w:val="-2"/>
          <w:sz w:val="24"/>
          <w:szCs w:val="24"/>
          <w:lang w:val="kk-KZ"/>
        </w:rPr>
        <w:t xml:space="preserve"> году</w:t>
      </w:r>
      <w:r w:rsidR="002C2E68" w:rsidRPr="00B5526A">
        <w:rPr>
          <w:rFonts w:cs="Times New Roman"/>
          <w:bCs/>
          <w:spacing w:val="-2"/>
          <w:sz w:val="24"/>
          <w:szCs w:val="24"/>
          <w:lang w:val="kk-KZ"/>
        </w:rPr>
        <w:t>. Утверждение плана НИР на 2017 г.</w:t>
      </w:r>
      <w:r w:rsidRPr="00B5526A">
        <w:rPr>
          <w:rFonts w:cs="Times New Roman"/>
          <w:bCs/>
          <w:spacing w:val="-2"/>
          <w:sz w:val="24"/>
          <w:szCs w:val="24"/>
          <w:lang w:val="kk-KZ"/>
        </w:rPr>
        <w:t>»</w:t>
      </w:r>
      <w:r w:rsidR="00D228E3" w:rsidRPr="00B5526A">
        <w:rPr>
          <w:rFonts w:cs="Times New Roman"/>
          <w:bCs/>
          <w:spacing w:val="-2"/>
          <w:sz w:val="24"/>
          <w:szCs w:val="24"/>
          <w:lang w:val="kk-KZ"/>
        </w:rPr>
        <w:t>,</w:t>
      </w:r>
      <w:r w:rsidRPr="00B5526A">
        <w:rPr>
          <w:rFonts w:cs="Times New Roman"/>
          <w:bCs/>
          <w:spacing w:val="-2"/>
          <w:sz w:val="24"/>
          <w:szCs w:val="24"/>
          <w:lang w:val="kk-KZ"/>
        </w:rPr>
        <w:t xml:space="preserve"> ученый совет отмечает</w:t>
      </w:r>
      <w:r w:rsidRPr="00B5526A">
        <w:rPr>
          <w:rStyle w:val="s1"/>
          <w:rFonts w:cs="Times New Roman"/>
          <w:spacing w:val="-2"/>
          <w:sz w:val="24"/>
          <w:szCs w:val="24"/>
          <w:lang w:val="kk-KZ"/>
        </w:rPr>
        <w:t>, что коллективом университета в соответствии с программными документами была выполнена зн</w:t>
      </w:r>
      <w:r w:rsidRPr="00B5526A">
        <w:rPr>
          <w:rStyle w:val="s1"/>
          <w:rFonts w:cs="Times New Roman"/>
          <w:spacing w:val="-2"/>
          <w:sz w:val="24"/>
          <w:szCs w:val="24"/>
        </w:rPr>
        <w:t>а</w:t>
      </w:r>
      <w:r w:rsidRPr="00B5526A">
        <w:rPr>
          <w:rStyle w:val="s1"/>
          <w:rFonts w:cs="Times New Roman"/>
          <w:spacing w:val="-2"/>
          <w:sz w:val="24"/>
          <w:szCs w:val="24"/>
          <w:lang w:val="kk-KZ"/>
        </w:rPr>
        <w:t>чительная работа. Вместе с тем</w:t>
      </w:r>
      <w:r w:rsidR="003F0C15" w:rsidRPr="00B5526A">
        <w:rPr>
          <w:rStyle w:val="s1"/>
          <w:rFonts w:cs="Times New Roman"/>
          <w:spacing w:val="-2"/>
          <w:sz w:val="24"/>
          <w:szCs w:val="24"/>
          <w:lang w:val="kk-KZ"/>
        </w:rPr>
        <w:t>,</w:t>
      </w:r>
      <w:r w:rsidRPr="00B5526A">
        <w:rPr>
          <w:rStyle w:val="s1"/>
          <w:rFonts w:cs="Times New Roman"/>
          <w:spacing w:val="-2"/>
          <w:sz w:val="24"/>
          <w:szCs w:val="24"/>
          <w:lang w:val="kk-KZ"/>
        </w:rPr>
        <w:t xml:space="preserve"> в условиях углубления интеграции образования</w:t>
      </w:r>
      <w:r w:rsidR="00B650DC" w:rsidRPr="00B5526A">
        <w:rPr>
          <w:rStyle w:val="s1"/>
          <w:rFonts w:cs="Times New Roman"/>
          <w:spacing w:val="-2"/>
          <w:sz w:val="24"/>
          <w:szCs w:val="24"/>
          <w:lang w:val="kk-KZ"/>
        </w:rPr>
        <w:t>,</w:t>
      </w:r>
      <w:r w:rsidRPr="00B5526A">
        <w:rPr>
          <w:rStyle w:val="s1"/>
          <w:rFonts w:cs="Times New Roman"/>
          <w:spacing w:val="-2"/>
          <w:sz w:val="24"/>
          <w:szCs w:val="24"/>
          <w:lang w:val="kk-KZ"/>
        </w:rPr>
        <w:t xml:space="preserve"> науки и производства, для роста </w:t>
      </w:r>
      <w:r w:rsidR="00B650DC" w:rsidRPr="00B5526A">
        <w:rPr>
          <w:rStyle w:val="s1"/>
          <w:rFonts w:cs="Times New Roman"/>
          <w:spacing w:val="-2"/>
          <w:sz w:val="24"/>
          <w:szCs w:val="24"/>
          <w:lang w:val="kk-KZ"/>
        </w:rPr>
        <w:t>результативности научной деятельности</w:t>
      </w:r>
      <w:r w:rsidR="003F0C15" w:rsidRPr="00B5526A">
        <w:rPr>
          <w:rStyle w:val="s1"/>
          <w:rFonts w:cs="Times New Roman"/>
          <w:spacing w:val="-2"/>
          <w:sz w:val="24"/>
          <w:szCs w:val="24"/>
          <w:lang w:val="kk-KZ"/>
        </w:rPr>
        <w:t>,</w:t>
      </w:r>
      <w:r w:rsidRPr="00B5526A">
        <w:rPr>
          <w:rStyle w:val="s1"/>
          <w:rFonts w:cs="Times New Roman"/>
          <w:spacing w:val="-2"/>
          <w:sz w:val="24"/>
          <w:szCs w:val="24"/>
          <w:lang w:val="kk-KZ"/>
        </w:rPr>
        <w:t xml:space="preserve"> требуется активизация усилий всего коллектива. На основании вышеизложенного ученый совет</w:t>
      </w:r>
    </w:p>
    <w:p w:rsidR="004620D2" w:rsidRPr="00B5526A" w:rsidRDefault="004620D2" w:rsidP="00B46C37">
      <w:pPr>
        <w:contextualSpacing/>
        <w:outlineLvl w:val="0"/>
        <w:rPr>
          <w:rFonts w:cs="Times New Roman"/>
          <w:b/>
          <w:sz w:val="24"/>
          <w:szCs w:val="24"/>
        </w:rPr>
      </w:pPr>
      <w:r w:rsidRPr="00B5526A">
        <w:rPr>
          <w:rFonts w:cs="Times New Roman"/>
          <w:b/>
          <w:sz w:val="24"/>
          <w:szCs w:val="24"/>
        </w:rPr>
        <w:t>РЕШИЛ:</w:t>
      </w:r>
    </w:p>
    <w:p w:rsidR="004620D2" w:rsidRPr="00B5526A" w:rsidRDefault="004620D2" w:rsidP="002C2E68">
      <w:pPr>
        <w:ind w:firstLine="567"/>
        <w:contextualSpacing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</w:rPr>
        <w:t>1</w:t>
      </w:r>
      <w:r w:rsidRPr="00B5526A">
        <w:rPr>
          <w:rFonts w:cs="Times New Roman"/>
          <w:sz w:val="24"/>
          <w:szCs w:val="24"/>
          <w:lang w:val="kk-KZ"/>
        </w:rPr>
        <w:t>. Признать научно-исследовательскую работу ППС, научных подразделений университета удовлетворительной.</w:t>
      </w:r>
    </w:p>
    <w:p w:rsidR="004620D2" w:rsidRPr="00B5526A" w:rsidRDefault="004620D2" w:rsidP="00B46C37">
      <w:pPr>
        <w:ind w:firstLine="567"/>
        <w:contextualSpacing/>
        <w:outlineLvl w:val="0"/>
        <w:rPr>
          <w:rFonts w:cs="Times New Roman"/>
          <w:spacing w:val="-4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 xml:space="preserve">2. Обеспечить </w:t>
      </w:r>
      <w:r w:rsidR="00B650DC" w:rsidRPr="00B5526A">
        <w:rPr>
          <w:rFonts w:cs="Times New Roman"/>
          <w:sz w:val="24"/>
          <w:szCs w:val="24"/>
          <w:lang w:val="kk-KZ"/>
        </w:rPr>
        <w:t>выполнение плана НИР</w:t>
      </w:r>
      <w:r w:rsidRPr="00B5526A">
        <w:rPr>
          <w:rFonts w:cs="Times New Roman"/>
          <w:sz w:val="24"/>
          <w:szCs w:val="24"/>
          <w:lang w:val="kk-KZ"/>
        </w:rPr>
        <w:t xml:space="preserve"> и привлечение инвестици</w:t>
      </w:r>
      <w:r w:rsidR="00B24D73" w:rsidRPr="00B5526A">
        <w:rPr>
          <w:rFonts w:cs="Times New Roman"/>
          <w:sz w:val="24"/>
          <w:szCs w:val="24"/>
          <w:lang w:val="kk-KZ"/>
        </w:rPr>
        <w:t>й</w:t>
      </w:r>
      <w:r w:rsidRPr="00B5526A">
        <w:rPr>
          <w:rFonts w:cs="Times New Roman"/>
          <w:sz w:val="24"/>
          <w:szCs w:val="24"/>
          <w:lang w:val="kk-KZ"/>
        </w:rPr>
        <w:t xml:space="preserve"> на основе </w:t>
      </w:r>
      <w:r w:rsidR="00B650DC" w:rsidRPr="00B5526A">
        <w:rPr>
          <w:rFonts w:cs="Times New Roman"/>
          <w:sz w:val="24"/>
          <w:szCs w:val="24"/>
          <w:lang w:val="kk-KZ"/>
        </w:rPr>
        <w:t xml:space="preserve">рейтинговых нормативных заданий и </w:t>
      </w:r>
      <w:r w:rsidRPr="00B5526A">
        <w:rPr>
          <w:rFonts w:cs="Times New Roman"/>
          <w:spacing w:val="-4"/>
          <w:sz w:val="24"/>
          <w:szCs w:val="24"/>
          <w:lang w:val="kk-KZ"/>
        </w:rPr>
        <w:t>показателей С</w:t>
      </w:r>
      <w:r w:rsidR="00B46C37" w:rsidRPr="00B5526A">
        <w:rPr>
          <w:rFonts w:cs="Times New Roman"/>
          <w:spacing w:val="-4"/>
          <w:sz w:val="24"/>
          <w:szCs w:val="24"/>
          <w:lang w:val="kk-KZ"/>
        </w:rPr>
        <w:t>т</w:t>
      </w:r>
      <w:r w:rsidRPr="00B5526A">
        <w:rPr>
          <w:rFonts w:cs="Times New Roman"/>
          <w:spacing w:val="-4"/>
          <w:sz w:val="24"/>
          <w:szCs w:val="24"/>
          <w:lang w:val="kk-KZ"/>
        </w:rPr>
        <w:t>ратегического плана университета до 2020 года</w:t>
      </w:r>
    </w:p>
    <w:p w:rsidR="00BF61EF" w:rsidRPr="00B5526A" w:rsidRDefault="00BF61EF" w:rsidP="004C21AD">
      <w:pPr>
        <w:ind w:left="5103"/>
        <w:contextualSpacing/>
        <w:jc w:val="left"/>
        <w:outlineLvl w:val="0"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 xml:space="preserve">Начальник УНиПО, </w:t>
      </w:r>
      <w:r w:rsidR="002C2E68" w:rsidRPr="00B5526A">
        <w:rPr>
          <w:rFonts w:cs="Times New Roman"/>
          <w:sz w:val="24"/>
          <w:szCs w:val="24"/>
          <w:lang w:val="kk-KZ"/>
        </w:rPr>
        <w:t>д</w:t>
      </w:r>
      <w:r w:rsidRPr="00B5526A">
        <w:rPr>
          <w:rFonts w:cs="Times New Roman"/>
          <w:sz w:val="24"/>
          <w:szCs w:val="24"/>
          <w:lang w:val="kk-KZ"/>
        </w:rPr>
        <w:t>еканы фа</w:t>
      </w:r>
      <w:r w:rsidR="00BB1115" w:rsidRPr="00B5526A">
        <w:rPr>
          <w:rFonts w:cs="Times New Roman"/>
          <w:sz w:val="24"/>
          <w:szCs w:val="24"/>
          <w:lang w:val="kk-KZ"/>
        </w:rPr>
        <w:t>культетов, заведующие кафедрами</w:t>
      </w:r>
      <w:r w:rsidRPr="00B5526A">
        <w:rPr>
          <w:rFonts w:cs="Times New Roman"/>
          <w:sz w:val="24"/>
          <w:szCs w:val="24"/>
          <w:lang w:val="kk-KZ"/>
        </w:rPr>
        <w:t xml:space="preserve"> </w:t>
      </w:r>
    </w:p>
    <w:p w:rsidR="00BF61EF" w:rsidRPr="00B5526A" w:rsidRDefault="00BF61EF" w:rsidP="004C21AD">
      <w:pPr>
        <w:ind w:left="5103"/>
        <w:contextualSpacing/>
        <w:jc w:val="left"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>в течение года</w:t>
      </w:r>
    </w:p>
    <w:p w:rsidR="004620D2" w:rsidRPr="00B5526A" w:rsidRDefault="004620D2" w:rsidP="00B46C37">
      <w:pPr>
        <w:ind w:firstLine="567"/>
        <w:contextualSpacing/>
        <w:outlineLvl w:val="0"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 xml:space="preserve">3. Обеспечить </w:t>
      </w:r>
      <w:r w:rsidR="00146BF9" w:rsidRPr="00B5526A">
        <w:rPr>
          <w:rFonts w:cs="Times New Roman"/>
          <w:sz w:val="24"/>
          <w:szCs w:val="24"/>
          <w:lang w:val="kk-KZ"/>
        </w:rPr>
        <w:t xml:space="preserve">результативное функционирование научно-исследовательских лабораторий в НИОКР и учебном процессе на основе разработки </w:t>
      </w:r>
      <w:r w:rsidR="000F2E78" w:rsidRPr="00B5526A">
        <w:rPr>
          <w:rFonts w:cs="Times New Roman"/>
          <w:sz w:val="24"/>
          <w:szCs w:val="24"/>
          <w:lang w:val="kk-KZ"/>
        </w:rPr>
        <w:t xml:space="preserve">и осуществления </w:t>
      </w:r>
      <w:r w:rsidR="00146BF9" w:rsidRPr="00B5526A">
        <w:rPr>
          <w:rFonts w:cs="Times New Roman"/>
          <w:sz w:val="24"/>
          <w:szCs w:val="24"/>
          <w:lang w:val="kk-KZ"/>
        </w:rPr>
        <w:t xml:space="preserve">перспективных планов </w:t>
      </w:r>
    </w:p>
    <w:p w:rsidR="004620D2" w:rsidRPr="00B5526A" w:rsidRDefault="004620D2" w:rsidP="00933C5C">
      <w:pPr>
        <w:ind w:left="5103"/>
        <w:contextualSpacing/>
        <w:jc w:val="left"/>
        <w:outlineLvl w:val="0"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 xml:space="preserve">Деканы факультетов, заведующие кафедрами, </w:t>
      </w:r>
      <w:r w:rsidR="00146BF9" w:rsidRPr="00B5526A">
        <w:rPr>
          <w:rFonts w:cs="Times New Roman"/>
          <w:sz w:val="24"/>
          <w:szCs w:val="24"/>
          <w:lang w:val="kk-KZ"/>
        </w:rPr>
        <w:t>зав.лаб</w:t>
      </w:r>
      <w:r w:rsidR="000F2E78" w:rsidRPr="00B5526A">
        <w:rPr>
          <w:rFonts w:cs="Times New Roman"/>
          <w:sz w:val="24"/>
          <w:szCs w:val="24"/>
          <w:lang w:val="kk-KZ"/>
        </w:rPr>
        <w:t>ораториями</w:t>
      </w:r>
    </w:p>
    <w:p w:rsidR="004620D2" w:rsidRPr="00B5526A" w:rsidRDefault="00146BF9" w:rsidP="004C21AD">
      <w:pPr>
        <w:ind w:left="5103"/>
        <w:contextualSpacing/>
        <w:jc w:val="left"/>
        <w:outlineLvl w:val="0"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>до 10 февраля 2017</w:t>
      </w:r>
      <w:r w:rsidR="002C2E68" w:rsidRPr="00B5526A">
        <w:rPr>
          <w:rFonts w:cs="Times New Roman"/>
          <w:sz w:val="24"/>
          <w:szCs w:val="24"/>
          <w:lang w:val="kk-KZ"/>
        </w:rPr>
        <w:t xml:space="preserve"> </w:t>
      </w:r>
      <w:r w:rsidRPr="00B5526A">
        <w:rPr>
          <w:rFonts w:cs="Times New Roman"/>
          <w:sz w:val="24"/>
          <w:szCs w:val="24"/>
          <w:lang w:val="kk-KZ"/>
        </w:rPr>
        <w:t>г.</w:t>
      </w:r>
      <w:r w:rsidR="004620D2" w:rsidRPr="00B5526A">
        <w:rPr>
          <w:rFonts w:cs="Times New Roman"/>
          <w:b/>
          <w:sz w:val="24"/>
          <w:szCs w:val="24"/>
        </w:rPr>
        <w:t xml:space="preserve"> </w:t>
      </w:r>
    </w:p>
    <w:p w:rsidR="00146BF9" w:rsidRPr="00B5526A" w:rsidRDefault="00BF61EF" w:rsidP="00B46C37">
      <w:pPr>
        <w:widowControl w:val="0"/>
        <w:ind w:firstLine="567"/>
        <w:contextualSpacing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>4</w:t>
      </w:r>
      <w:r w:rsidR="00146BF9" w:rsidRPr="00B5526A">
        <w:rPr>
          <w:rFonts w:cs="Times New Roman"/>
          <w:sz w:val="24"/>
          <w:szCs w:val="24"/>
          <w:lang w:val="kk-KZ"/>
        </w:rPr>
        <w:t xml:space="preserve">. </w:t>
      </w:r>
      <w:r w:rsidR="000F2E78" w:rsidRPr="00B5526A">
        <w:rPr>
          <w:rFonts w:cs="Times New Roman"/>
          <w:sz w:val="24"/>
          <w:szCs w:val="24"/>
          <w:lang w:val="kk-KZ"/>
        </w:rPr>
        <w:t>Осуществлять</w:t>
      </w:r>
      <w:r w:rsidR="00146BF9" w:rsidRPr="00B5526A">
        <w:rPr>
          <w:rFonts w:cs="Times New Roman"/>
          <w:sz w:val="24"/>
          <w:szCs w:val="24"/>
          <w:lang w:val="kk-KZ"/>
        </w:rPr>
        <w:t xml:space="preserve"> информационное сопровождение проводимых </w:t>
      </w:r>
      <w:r w:rsidRPr="00B5526A">
        <w:rPr>
          <w:rFonts w:cs="Times New Roman"/>
          <w:sz w:val="24"/>
          <w:szCs w:val="24"/>
          <w:lang w:val="kk-KZ"/>
        </w:rPr>
        <w:t xml:space="preserve">научных </w:t>
      </w:r>
      <w:r w:rsidR="00146BF9" w:rsidRPr="00B5526A">
        <w:rPr>
          <w:rFonts w:cs="Times New Roman"/>
          <w:sz w:val="24"/>
          <w:szCs w:val="24"/>
          <w:lang w:val="kk-KZ"/>
        </w:rPr>
        <w:t>мероприятий и популяризацию достижений ученых за счет публикации информации в печатных и электронных СМИ</w:t>
      </w:r>
    </w:p>
    <w:p w:rsidR="00146BF9" w:rsidRPr="00B5526A" w:rsidRDefault="00933C5C" w:rsidP="00933C5C">
      <w:pPr>
        <w:ind w:left="5103"/>
        <w:contextualSpacing/>
        <w:jc w:val="left"/>
        <w:outlineLvl w:val="0"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 xml:space="preserve">Пресс-секретарь, </w:t>
      </w:r>
      <w:r w:rsidR="00146BF9" w:rsidRPr="00B5526A">
        <w:rPr>
          <w:rFonts w:cs="Times New Roman"/>
          <w:sz w:val="24"/>
          <w:szCs w:val="24"/>
          <w:lang w:val="kk-KZ"/>
        </w:rPr>
        <w:t>медиа</w:t>
      </w:r>
      <w:r w:rsidR="002C2E68" w:rsidRPr="00B5526A">
        <w:rPr>
          <w:rFonts w:cs="Times New Roman"/>
          <w:sz w:val="24"/>
          <w:szCs w:val="24"/>
          <w:lang w:val="kk-KZ"/>
        </w:rPr>
        <w:t xml:space="preserve"> </w:t>
      </w:r>
      <w:r w:rsidR="00B5526A" w:rsidRPr="00B5526A">
        <w:rPr>
          <w:rFonts w:cs="Times New Roman"/>
          <w:sz w:val="24"/>
          <w:szCs w:val="24"/>
          <w:lang w:val="kk-KZ"/>
        </w:rPr>
        <w:t xml:space="preserve">- </w:t>
      </w:r>
      <w:r w:rsidR="00146BF9" w:rsidRPr="00B5526A">
        <w:rPr>
          <w:rFonts w:cs="Times New Roman"/>
          <w:sz w:val="24"/>
          <w:szCs w:val="24"/>
          <w:lang w:val="kk-KZ"/>
        </w:rPr>
        <w:t>студи</w:t>
      </w:r>
      <w:r w:rsidR="00BF61EF" w:rsidRPr="00B5526A">
        <w:rPr>
          <w:rFonts w:cs="Times New Roman"/>
          <w:sz w:val="24"/>
          <w:szCs w:val="24"/>
          <w:lang w:val="kk-KZ"/>
        </w:rPr>
        <w:t>я</w:t>
      </w:r>
      <w:r w:rsidR="00BB1115" w:rsidRPr="00B5526A">
        <w:rPr>
          <w:rFonts w:cs="Times New Roman"/>
          <w:sz w:val="24"/>
          <w:szCs w:val="24"/>
          <w:lang w:val="kk-KZ"/>
        </w:rPr>
        <w:t>, заведующие кафедрами</w:t>
      </w:r>
    </w:p>
    <w:p w:rsidR="00146BF9" w:rsidRPr="00B5526A" w:rsidRDefault="00146BF9" w:rsidP="00933C5C">
      <w:pPr>
        <w:ind w:left="5103"/>
        <w:contextualSpacing/>
        <w:jc w:val="left"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>в течение года</w:t>
      </w:r>
    </w:p>
    <w:p w:rsidR="00091BFA" w:rsidRPr="00B5526A" w:rsidRDefault="00BF61EF" w:rsidP="002C2E68">
      <w:pPr>
        <w:widowControl w:val="0"/>
        <w:ind w:firstLine="567"/>
        <w:contextualSpacing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>5</w:t>
      </w:r>
      <w:r w:rsidR="002C2E68" w:rsidRPr="00B5526A">
        <w:rPr>
          <w:rFonts w:cs="Times New Roman"/>
          <w:sz w:val="24"/>
          <w:szCs w:val="24"/>
          <w:lang w:val="kk-KZ"/>
        </w:rPr>
        <w:t>.</w:t>
      </w:r>
      <w:r w:rsidR="004620D2" w:rsidRPr="00B5526A">
        <w:rPr>
          <w:rFonts w:cs="Times New Roman"/>
          <w:sz w:val="24"/>
          <w:szCs w:val="24"/>
          <w:lang w:val="kk-KZ"/>
        </w:rPr>
        <w:t xml:space="preserve"> Утвердить План НИР КГУ имени А. Байтурсынова на 201</w:t>
      </w:r>
      <w:r w:rsidRPr="00B5526A">
        <w:rPr>
          <w:rFonts w:cs="Times New Roman"/>
          <w:sz w:val="24"/>
          <w:szCs w:val="24"/>
          <w:lang w:val="kk-KZ"/>
        </w:rPr>
        <w:t>7</w:t>
      </w:r>
      <w:r w:rsidR="004620D2" w:rsidRPr="00B5526A">
        <w:rPr>
          <w:rFonts w:cs="Times New Roman"/>
          <w:sz w:val="24"/>
          <w:szCs w:val="24"/>
          <w:lang w:val="kk-KZ"/>
        </w:rPr>
        <w:t xml:space="preserve"> год.</w:t>
      </w:r>
    </w:p>
    <w:p w:rsidR="004620D2" w:rsidRDefault="00BF61EF" w:rsidP="00B46C37">
      <w:pPr>
        <w:widowControl w:val="0"/>
        <w:ind w:firstLine="567"/>
        <w:contextualSpacing/>
        <w:rPr>
          <w:rFonts w:cs="Times New Roman"/>
          <w:sz w:val="24"/>
          <w:szCs w:val="24"/>
          <w:lang w:val="kk-KZ"/>
        </w:rPr>
      </w:pPr>
      <w:r w:rsidRPr="00B5526A">
        <w:rPr>
          <w:rFonts w:cs="Times New Roman"/>
          <w:sz w:val="24"/>
          <w:szCs w:val="24"/>
          <w:lang w:val="kk-KZ"/>
        </w:rPr>
        <w:t>6</w:t>
      </w:r>
      <w:r w:rsidR="004620D2" w:rsidRPr="00B5526A">
        <w:rPr>
          <w:rFonts w:cs="Times New Roman"/>
          <w:sz w:val="24"/>
          <w:szCs w:val="24"/>
          <w:lang w:val="kk-KZ"/>
        </w:rPr>
        <w:t>. Контроль исполнения настоящего решения возложить на проректора по нау</w:t>
      </w:r>
      <w:r w:rsidR="00B5526A" w:rsidRPr="00B5526A">
        <w:rPr>
          <w:rFonts w:cs="Times New Roman"/>
          <w:sz w:val="24"/>
          <w:szCs w:val="24"/>
          <w:lang w:val="kk-KZ"/>
        </w:rPr>
        <w:t xml:space="preserve">чной работе и внешним связям Ж.Б. </w:t>
      </w:r>
      <w:r w:rsidR="004620D2" w:rsidRPr="00B5526A">
        <w:rPr>
          <w:rFonts w:cs="Times New Roman"/>
          <w:sz w:val="24"/>
          <w:szCs w:val="24"/>
          <w:lang w:val="kk-KZ"/>
        </w:rPr>
        <w:t xml:space="preserve">Жарлыгасова. </w:t>
      </w:r>
    </w:p>
    <w:p w:rsidR="00B5526A" w:rsidRPr="00B5526A" w:rsidRDefault="00B5526A" w:rsidP="00B46C37">
      <w:pPr>
        <w:widowControl w:val="0"/>
        <w:ind w:firstLine="567"/>
        <w:contextualSpacing/>
        <w:rPr>
          <w:rFonts w:cs="Times New Roman"/>
          <w:sz w:val="24"/>
          <w:szCs w:val="24"/>
          <w:lang w:val="kk-KZ"/>
        </w:rPr>
      </w:pPr>
      <w:r w:rsidRPr="00CD37B2">
        <w:rPr>
          <w:noProof/>
          <w:sz w:val="24"/>
          <w:szCs w:val="24"/>
          <w:lang w:eastAsia="ru-RU"/>
        </w:rPr>
        <w:drawing>
          <wp:inline distT="0" distB="0" distL="0" distR="0" wp14:anchorId="4BF235C1" wp14:editId="2604F845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26A" w:rsidRPr="00B5526A" w:rsidSect="00B46C37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5C88"/>
    <w:multiLevelType w:val="hybridMultilevel"/>
    <w:tmpl w:val="D82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26DE"/>
    <w:multiLevelType w:val="hybridMultilevel"/>
    <w:tmpl w:val="C7E8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98"/>
    <w:rsid w:val="00091BFA"/>
    <w:rsid w:val="000B2663"/>
    <w:rsid w:val="000F2E78"/>
    <w:rsid w:val="00146BF9"/>
    <w:rsid w:val="00165B92"/>
    <w:rsid w:val="001733DA"/>
    <w:rsid w:val="001A2A8A"/>
    <w:rsid w:val="001C6F07"/>
    <w:rsid w:val="001E7A8D"/>
    <w:rsid w:val="002C2E68"/>
    <w:rsid w:val="002C7D03"/>
    <w:rsid w:val="002F01DF"/>
    <w:rsid w:val="002F2F57"/>
    <w:rsid w:val="00311B81"/>
    <w:rsid w:val="003D2F34"/>
    <w:rsid w:val="003F0C15"/>
    <w:rsid w:val="003F72CD"/>
    <w:rsid w:val="00406978"/>
    <w:rsid w:val="004620D2"/>
    <w:rsid w:val="004C21AD"/>
    <w:rsid w:val="004F2A62"/>
    <w:rsid w:val="00516A04"/>
    <w:rsid w:val="00574EB0"/>
    <w:rsid w:val="00576DB8"/>
    <w:rsid w:val="005A5798"/>
    <w:rsid w:val="005B6A49"/>
    <w:rsid w:val="005C4274"/>
    <w:rsid w:val="005F3A24"/>
    <w:rsid w:val="0062255E"/>
    <w:rsid w:val="00632C7C"/>
    <w:rsid w:val="0066653F"/>
    <w:rsid w:val="00690C80"/>
    <w:rsid w:val="006C41BB"/>
    <w:rsid w:val="006D07D9"/>
    <w:rsid w:val="007241DD"/>
    <w:rsid w:val="00734474"/>
    <w:rsid w:val="00774353"/>
    <w:rsid w:val="00805071"/>
    <w:rsid w:val="008151ED"/>
    <w:rsid w:val="00917CFD"/>
    <w:rsid w:val="00933C5C"/>
    <w:rsid w:val="009C156E"/>
    <w:rsid w:val="00A24640"/>
    <w:rsid w:val="00A27EA4"/>
    <w:rsid w:val="00A52458"/>
    <w:rsid w:val="00A53FAC"/>
    <w:rsid w:val="00A711E9"/>
    <w:rsid w:val="00AC4172"/>
    <w:rsid w:val="00AF186D"/>
    <w:rsid w:val="00B24D73"/>
    <w:rsid w:val="00B26BA0"/>
    <w:rsid w:val="00B346EB"/>
    <w:rsid w:val="00B3625C"/>
    <w:rsid w:val="00B46C37"/>
    <w:rsid w:val="00B5526A"/>
    <w:rsid w:val="00B650DC"/>
    <w:rsid w:val="00BB1115"/>
    <w:rsid w:val="00BB7BED"/>
    <w:rsid w:val="00BF61EF"/>
    <w:rsid w:val="00C77FCB"/>
    <w:rsid w:val="00C8547D"/>
    <w:rsid w:val="00CB70EA"/>
    <w:rsid w:val="00D228E3"/>
    <w:rsid w:val="00D34136"/>
    <w:rsid w:val="00D447A6"/>
    <w:rsid w:val="00D453DC"/>
    <w:rsid w:val="00D9567C"/>
    <w:rsid w:val="00E20598"/>
    <w:rsid w:val="00E37B82"/>
    <w:rsid w:val="00F94761"/>
    <w:rsid w:val="00F97B85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98"/>
    <w:pPr>
      <w:ind w:left="720"/>
      <w:contextualSpacing/>
    </w:pPr>
  </w:style>
  <w:style w:type="character" w:customStyle="1" w:styleId="s1">
    <w:name w:val="s1"/>
    <w:basedOn w:val="a0"/>
    <w:rsid w:val="004620D2"/>
  </w:style>
  <w:style w:type="paragraph" w:styleId="a4">
    <w:name w:val="Balloon Text"/>
    <w:basedOn w:val="a"/>
    <w:link w:val="a5"/>
    <w:uiPriority w:val="99"/>
    <w:semiHidden/>
    <w:unhideWhenUsed/>
    <w:rsid w:val="00D44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98"/>
    <w:pPr>
      <w:ind w:left="720"/>
      <w:contextualSpacing/>
    </w:pPr>
  </w:style>
  <w:style w:type="character" w:customStyle="1" w:styleId="s1">
    <w:name w:val="s1"/>
    <w:basedOn w:val="a0"/>
    <w:rsid w:val="004620D2"/>
  </w:style>
  <w:style w:type="paragraph" w:styleId="a4">
    <w:name w:val="Balloon Text"/>
    <w:basedOn w:val="a"/>
    <w:link w:val="a5"/>
    <w:uiPriority w:val="99"/>
    <w:semiHidden/>
    <w:unhideWhenUsed/>
    <w:rsid w:val="00D44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EFCE-84A3-42C5-9EDA-F8A95ABB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hp-1</cp:lastModifiedBy>
  <cp:revision>11</cp:revision>
  <cp:lastPrinted>2017-02-07T10:17:00Z</cp:lastPrinted>
  <dcterms:created xsi:type="dcterms:W3CDTF">2017-01-25T07:21:00Z</dcterms:created>
  <dcterms:modified xsi:type="dcterms:W3CDTF">2017-02-13T04:32:00Z</dcterms:modified>
</cp:coreProperties>
</file>