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92" w:rsidRPr="000C4BB5" w:rsidRDefault="00D21692" w:rsidP="003F320A">
      <w:pPr>
        <w:rPr>
          <w:b/>
          <w:sz w:val="24"/>
          <w:szCs w:val="24"/>
          <w:u w:val="single"/>
        </w:rPr>
      </w:pPr>
    </w:p>
    <w:p w:rsidR="00D21692" w:rsidRPr="000E4F36" w:rsidRDefault="00D21692" w:rsidP="00890954">
      <w:pPr>
        <w:rPr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46"/>
      </w:tblGrid>
      <w:tr w:rsidR="00D21692" w:rsidRPr="0028141E" w:rsidTr="0044324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443244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D21692" w:rsidRPr="00F12D24" w:rsidRDefault="00D21692" w:rsidP="00443244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D21692" w:rsidRPr="00F12D24" w:rsidRDefault="00D21692" w:rsidP="00443244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443244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D21692" w:rsidRPr="00F12D24" w:rsidRDefault="00D21692" w:rsidP="00443244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D21692" w:rsidRDefault="00D21692" w:rsidP="00443244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>имени А.Байтурсынова</w:t>
            </w:r>
            <w:r w:rsidR="000E4F36">
              <w:rPr>
                <w:rStyle w:val="s1"/>
                <w:color w:val="000000"/>
                <w:sz w:val="24"/>
                <w:szCs w:val="24"/>
                <w:lang w:val="kk-KZ"/>
              </w:rPr>
              <w:t>»</w:t>
            </w:r>
          </w:p>
          <w:p w:rsidR="00D21692" w:rsidRPr="00F12D24" w:rsidRDefault="00D21692" w:rsidP="00B1328F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D21692" w:rsidRPr="0028141E" w:rsidTr="0044324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jc w:val="center"/>
              <w:rPr>
                <w:color w:val="000000"/>
                <w:sz w:val="24"/>
                <w:szCs w:val="24"/>
              </w:rPr>
            </w:pPr>
            <w:r w:rsidRPr="00F12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21692" w:rsidRPr="0028141E" w:rsidTr="0044324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 xml:space="preserve">                 ШЕШІМ                                                                       </w:t>
            </w:r>
          </w:p>
          <w:p w:rsidR="00D21692" w:rsidRPr="00F12D24" w:rsidRDefault="00D21692" w:rsidP="00B1328F">
            <w:pPr>
              <w:rPr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jc w:val="center"/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 xml:space="preserve">                       РЕШЕНИЕ</w:t>
            </w:r>
          </w:p>
          <w:p w:rsidR="00D21692" w:rsidRPr="00F12D24" w:rsidRDefault="00D21692" w:rsidP="00B1328F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                     </w:t>
            </w:r>
            <w:r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ученого совета</w:t>
            </w:r>
          </w:p>
        </w:tc>
      </w:tr>
      <w:tr w:rsidR="00D21692" w:rsidRPr="0028141E" w:rsidTr="0044324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rPr>
                <w:sz w:val="24"/>
                <w:szCs w:val="24"/>
              </w:rPr>
            </w:pPr>
            <w:r w:rsidRPr="00F12D24">
              <w:rPr>
                <w:sz w:val="24"/>
                <w:szCs w:val="24"/>
                <w:lang w:val="kk-KZ"/>
              </w:rPr>
              <w:t xml:space="preserve">              28.10.2016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color w:val="000000"/>
                <w:sz w:val="24"/>
                <w:szCs w:val="24"/>
              </w:rPr>
              <w:t xml:space="preserve">                       </w:t>
            </w:r>
            <w:r w:rsidR="003F320A">
              <w:rPr>
                <w:color w:val="000000"/>
                <w:sz w:val="24"/>
                <w:szCs w:val="24"/>
                <w:lang w:val="kk-KZ"/>
              </w:rPr>
              <w:t>№ 13-2</w:t>
            </w:r>
          </w:p>
        </w:tc>
      </w:tr>
      <w:tr w:rsidR="00D21692" w:rsidRPr="0028141E" w:rsidTr="0044324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rPr>
                <w:color w:val="FF0000"/>
                <w:sz w:val="24"/>
                <w:szCs w:val="24"/>
              </w:rPr>
            </w:pPr>
            <w:r w:rsidRPr="00F12D2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jc w:val="right"/>
              <w:rPr>
                <w:color w:val="000000"/>
                <w:sz w:val="24"/>
                <w:szCs w:val="24"/>
              </w:rPr>
            </w:pPr>
            <w:r w:rsidRPr="00F12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21692" w:rsidRPr="0028141E" w:rsidTr="0044324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rPr>
                <w:color w:val="000000"/>
                <w:sz w:val="24"/>
                <w:szCs w:val="24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692" w:rsidRPr="00F12D24" w:rsidRDefault="00D21692" w:rsidP="00B1328F">
            <w:pPr>
              <w:rPr>
                <w:color w:val="000000"/>
                <w:sz w:val="24"/>
                <w:szCs w:val="24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                        город Костанай</w:t>
            </w:r>
          </w:p>
        </w:tc>
      </w:tr>
    </w:tbl>
    <w:p w:rsidR="00D21692" w:rsidRDefault="00D21692" w:rsidP="00890954"/>
    <w:p w:rsidR="00D21692" w:rsidRDefault="00D21692" w:rsidP="000419AB">
      <w:pPr>
        <w:ind w:firstLine="709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Заң факультетінің дека</w:t>
      </w:r>
      <w:r w:rsidR="000E4F36">
        <w:rPr>
          <w:sz w:val="24"/>
          <w:szCs w:val="24"/>
          <w:lang w:val="kk-KZ"/>
        </w:rPr>
        <w:t>ны Б.С.Тұрлы</w:t>
      </w:r>
      <w:r>
        <w:rPr>
          <w:sz w:val="24"/>
          <w:szCs w:val="24"/>
          <w:lang w:val="kk-KZ"/>
        </w:rPr>
        <w:t xml:space="preserve">бековтың </w:t>
      </w:r>
      <w:r w:rsidRPr="00B72FFF">
        <w:rPr>
          <w:sz w:val="24"/>
          <w:szCs w:val="24"/>
          <w:lang w:val="kk-KZ"/>
        </w:rPr>
        <w:t>«</w:t>
      </w:r>
      <w:r w:rsidR="000419AB" w:rsidRPr="000419AB">
        <w:rPr>
          <w:sz w:val="24"/>
          <w:szCs w:val="24"/>
          <w:lang w:val="kk-KZ"/>
        </w:rPr>
        <w:t>Кадр әлеуетінің жағдайы және оның даму беталысы</w:t>
      </w:r>
      <w:r w:rsidR="000419AB" w:rsidRPr="000419AB">
        <w:rPr>
          <w:sz w:val="24"/>
          <w:szCs w:val="24"/>
        </w:rPr>
        <w:t xml:space="preserve"> (</w:t>
      </w:r>
      <w:r w:rsidR="000419AB" w:rsidRPr="000419AB">
        <w:rPr>
          <w:sz w:val="24"/>
          <w:szCs w:val="24"/>
          <w:lang w:val="kk-KZ"/>
        </w:rPr>
        <w:t>ЗФ мысалында</w:t>
      </w:r>
      <w:r w:rsidR="000419AB" w:rsidRPr="000419AB">
        <w:rPr>
          <w:sz w:val="24"/>
          <w:szCs w:val="24"/>
        </w:rPr>
        <w:t>)</w:t>
      </w:r>
      <w:r w:rsidRPr="00B72FFF">
        <w:rPr>
          <w:sz w:val="24"/>
          <w:szCs w:val="24"/>
          <w:lang w:val="kk-KZ"/>
        </w:rPr>
        <w:t>»</w:t>
      </w:r>
      <w:r>
        <w:rPr>
          <w:sz w:val="24"/>
          <w:szCs w:val="24"/>
          <w:lang w:val="kk-KZ"/>
        </w:rPr>
        <w:t xml:space="preserve"> баяндамасын тыңдап және талқылап, ғылыми кеңес</w:t>
      </w:r>
      <w:r w:rsidRPr="00B72FFF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заң факультеттінің кадрлық әлеуетін қалыптастыру бойынша факультетте айтарлықтай жұмыс жүргізілгенін атап өтеді.</w:t>
      </w:r>
    </w:p>
    <w:p w:rsidR="005D16AD" w:rsidRDefault="00D21692" w:rsidP="00D21692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  <w:t xml:space="preserve">Сонымен қатар, факультеттің кадрлық және ғылыми </w:t>
      </w:r>
      <w:r w:rsidR="000419AB">
        <w:rPr>
          <w:sz w:val="24"/>
          <w:szCs w:val="24"/>
          <w:lang w:val="kk-KZ"/>
        </w:rPr>
        <w:t xml:space="preserve">әлеуетін </w:t>
      </w:r>
      <w:r>
        <w:rPr>
          <w:sz w:val="24"/>
          <w:szCs w:val="24"/>
          <w:lang w:val="kk-KZ"/>
        </w:rPr>
        <w:t>арттыру бойынша жұмыстың кейбір бағыттары одан әрі жетілдіруді талап етеді. Жоғарыда аталға</w:t>
      </w:r>
      <w:r w:rsidR="000419AB">
        <w:rPr>
          <w:sz w:val="24"/>
          <w:szCs w:val="24"/>
          <w:lang w:val="kk-KZ"/>
        </w:rPr>
        <w:t>ндардың негізінде, ғылыми кеңес</w:t>
      </w:r>
    </w:p>
    <w:p w:rsidR="00D21692" w:rsidRPr="00960FEE" w:rsidRDefault="00D21692" w:rsidP="00D21692">
      <w:pPr>
        <w:jc w:val="both"/>
        <w:rPr>
          <w:b/>
          <w:sz w:val="24"/>
          <w:szCs w:val="24"/>
          <w:lang w:val="kk-KZ"/>
        </w:rPr>
      </w:pPr>
      <w:r w:rsidRPr="00960FEE">
        <w:rPr>
          <w:b/>
          <w:sz w:val="24"/>
          <w:szCs w:val="24"/>
          <w:lang w:val="kk-KZ"/>
        </w:rPr>
        <w:t>ШЕШТІ:</w:t>
      </w:r>
    </w:p>
    <w:p w:rsidR="00D21692" w:rsidRPr="00593109" w:rsidRDefault="00D21692" w:rsidP="00D21692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1. </w:t>
      </w:r>
      <w:r w:rsidR="000419AB">
        <w:rPr>
          <w:sz w:val="24"/>
          <w:szCs w:val="24"/>
          <w:lang w:val="kk-KZ"/>
        </w:rPr>
        <w:t>Факультеттердің</w:t>
      </w:r>
      <w:r w:rsidRPr="00593109">
        <w:rPr>
          <w:sz w:val="24"/>
          <w:szCs w:val="24"/>
          <w:lang w:val="kk-KZ"/>
        </w:rPr>
        <w:t xml:space="preserve"> кадрлық </w:t>
      </w:r>
      <w:r w:rsidR="000419AB">
        <w:rPr>
          <w:sz w:val="24"/>
          <w:szCs w:val="24"/>
          <w:lang w:val="kk-KZ"/>
        </w:rPr>
        <w:t>әлеуетін</w:t>
      </w:r>
      <w:r w:rsidR="000419AB" w:rsidRPr="00593109">
        <w:rPr>
          <w:sz w:val="24"/>
          <w:szCs w:val="24"/>
          <w:lang w:val="kk-KZ"/>
        </w:rPr>
        <w:t xml:space="preserve"> </w:t>
      </w:r>
      <w:r w:rsidR="000419AB">
        <w:rPr>
          <w:sz w:val="24"/>
          <w:szCs w:val="24"/>
          <w:lang w:val="kk-KZ"/>
        </w:rPr>
        <w:t>дамыту бағдарламасы дайындалсын</w:t>
      </w:r>
    </w:p>
    <w:p w:rsidR="000419AB" w:rsidRDefault="00D21692" w:rsidP="005D16AD">
      <w:pPr>
        <w:pStyle w:val="a6"/>
        <w:ind w:left="1065" w:firstLine="3471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Факультет</w:t>
      </w:r>
      <w:r w:rsidR="000419AB">
        <w:rPr>
          <w:sz w:val="24"/>
          <w:szCs w:val="24"/>
          <w:lang w:val="kk-KZ"/>
        </w:rPr>
        <w:t>тер декандары</w:t>
      </w:r>
    </w:p>
    <w:p w:rsidR="005D16AD" w:rsidRPr="005D16AD" w:rsidRDefault="00D21692" w:rsidP="005D16AD">
      <w:pPr>
        <w:pStyle w:val="a6"/>
        <w:ind w:left="1065" w:firstLine="3471"/>
        <w:jc w:val="both"/>
        <w:rPr>
          <w:sz w:val="24"/>
          <w:szCs w:val="24"/>
          <w:lang w:val="kk-KZ"/>
        </w:rPr>
      </w:pPr>
      <w:r w:rsidRPr="000419AB">
        <w:rPr>
          <w:sz w:val="24"/>
          <w:szCs w:val="24"/>
          <w:lang w:val="kk-KZ"/>
        </w:rPr>
        <w:t>2016 жылғы 01 желтоқсанға дейін</w:t>
      </w:r>
    </w:p>
    <w:p w:rsidR="00D21692" w:rsidRDefault="00D21692" w:rsidP="00D21692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 Ғ</w:t>
      </w:r>
      <w:r w:rsidR="000419AB">
        <w:rPr>
          <w:sz w:val="24"/>
          <w:szCs w:val="24"/>
          <w:lang w:val="kk-KZ"/>
        </w:rPr>
        <w:t xml:space="preserve"> және </w:t>
      </w:r>
      <w:r>
        <w:rPr>
          <w:sz w:val="24"/>
          <w:szCs w:val="24"/>
          <w:lang w:val="kk-KZ"/>
        </w:rPr>
        <w:t>ЖОКББ жоспарына сәйкес к</w:t>
      </w:r>
      <w:r w:rsidRPr="00593109">
        <w:rPr>
          <w:sz w:val="24"/>
          <w:szCs w:val="24"/>
          <w:lang w:val="kk-KZ"/>
        </w:rPr>
        <w:t xml:space="preserve">адрлық </w:t>
      </w:r>
      <w:r w:rsidR="000419AB">
        <w:rPr>
          <w:sz w:val="24"/>
          <w:szCs w:val="24"/>
          <w:lang w:val="kk-KZ"/>
        </w:rPr>
        <w:t>әлеуетті</w:t>
      </w:r>
      <w:r w:rsidRPr="00593109">
        <w:rPr>
          <w:sz w:val="24"/>
          <w:szCs w:val="24"/>
          <w:lang w:val="kk-KZ"/>
        </w:rPr>
        <w:t xml:space="preserve"> дамыту және профессорлық-оқытушылар құрамының ғылыми дәрежелерін арттыру </w:t>
      </w:r>
      <w:r w:rsidR="000419AB">
        <w:rPr>
          <w:sz w:val="24"/>
          <w:szCs w:val="24"/>
          <w:lang w:val="kk-KZ"/>
        </w:rPr>
        <w:t>негізін</w:t>
      </w:r>
      <w:r>
        <w:rPr>
          <w:sz w:val="24"/>
          <w:szCs w:val="24"/>
          <w:lang w:val="kk-KZ"/>
        </w:rPr>
        <w:t xml:space="preserve"> құру мақсатында факультетте жоғары оқу орнынан кейінгі білім берудің тиісті мамандықтарын</w:t>
      </w:r>
      <w:r w:rsidR="000419AB">
        <w:rPr>
          <w:sz w:val="24"/>
          <w:szCs w:val="24"/>
          <w:lang w:val="kk-KZ"/>
        </w:rPr>
        <w:t xml:space="preserve"> </w:t>
      </w:r>
      <w:r w:rsidRPr="00704426">
        <w:rPr>
          <w:sz w:val="24"/>
          <w:szCs w:val="24"/>
          <w:lang w:val="kk-KZ"/>
        </w:rPr>
        <w:t>(</w:t>
      </w:r>
      <w:r>
        <w:rPr>
          <w:sz w:val="24"/>
          <w:szCs w:val="24"/>
          <w:lang w:val="kk-KZ"/>
        </w:rPr>
        <w:t>магистратура, докторантура</w:t>
      </w:r>
      <w:r w:rsidRPr="00704426">
        <w:rPr>
          <w:sz w:val="24"/>
          <w:szCs w:val="24"/>
          <w:lang w:val="kk-KZ"/>
        </w:rPr>
        <w:t>)</w:t>
      </w:r>
      <w:r>
        <w:rPr>
          <w:sz w:val="24"/>
          <w:szCs w:val="24"/>
          <w:lang w:val="kk-KZ"/>
        </w:rPr>
        <w:t xml:space="preserve"> ашу бойынша жұмыс</w:t>
      </w:r>
      <w:r w:rsidR="000419AB">
        <w:rPr>
          <w:sz w:val="24"/>
          <w:szCs w:val="24"/>
          <w:lang w:val="kk-KZ"/>
        </w:rPr>
        <w:t>ы</w:t>
      </w:r>
      <w:r>
        <w:rPr>
          <w:sz w:val="24"/>
          <w:szCs w:val="24"/>
          <w:lang w:val="kk-KZ"/>
        </w:rPr>
        <w:t xml:space="preserve"> аяқталсын</w:t>
      </w:r>
    </w:p>
    <w:p w:rsidR="00D21692" w:rsidRDefault="00D21692" w:rsidP="005D16AD">
      <w:pPr>
        <w:ind w:left="453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Факультет</w:t>
      </w:r>
      <w:r w:rsidR="000419AB">
        <w:rPr>
          <w:sz w:val="24"/>
          <w:szCs w:val="24"/>
          <w:lang w:val="kk-KZ"/>
        </w:rPr>
        <w:t>тер</w:t>
      </w:r>
      <w:r>
        <w:rPr>
          <w:sz w:val="24"/>
          <w:szCs w:val="24"/>
          <w:lang w:val="kk-KZ"/>
        </w:rPr>
        <w:t xml:space="preserve"> декан</w:t>
      </w:r>
      <w:r w:rsidR="000419AB">
        <w:rPr>
          <w:sz w:val="24"/>
          <w:szCs w:val="24"/>
          <w:lang w:val="kk-KZ"/>
        </w:rPr>
        <w:t>дар</w:t>
      </w:r>
      <w:r>
        <w:rPr>
          <w:sz w:val="24"/>
          <w:szCs w:val="24"/>
          <w:lang w:val="kk-KZ"/>
        </w:rPr>
        <w:t>ы,</w:t>
      </w:r>
      <w:r w:rsidR="003F320A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ғылым және жоғары оқу орнынан кейінгі</w:t>
      </w:r>
      <w:r w:rsidR="003F320A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білім басқармасы, кафедра меңгерушілері</w:t>
      </w:r>
    </w:p>
    <w:p w:rsidR="005D16AD" w:rsidRDefault="00D21692" w:rsidP="005D16AD">
      <w:pPr>
        <w:ind w:left="453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2017 жылғы мамырға дейін</w:t>
      </w:r>
    </w:p>
    <w:p w:rsidR="00D21692" w:rsidRDefault="00D21692" w:rsidP="00D21692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 П</w:t>
      </w:r>
      <w:r w:rsidRPr="00593109">
        <w:rPr>
          <w:sz w:val="24"/>
          <w:szCs w:val="24"/>
          <w:lang w:val="kk-KZ"/>
        </w:rPr>
        <w:t>рофессорлық-оқытушылар құрамының</w:t>
      </w:r>
      <w:r w:rsidR="000419AB">
        <w:rPr>
          <w:sz w:val="24"/>
          <w:szCs w:val="24"/>
          <w:lang w:val="kk-KZ"/>
        </w:rPr>
        <w:t xml:space="preserve"> көптілді дайындығын</w:t>
      </w:r>
      <w:r>
        <w:rPr>
          <w:sz w:val="24"/>
          <w:szCs w:val="24"/>
          <w:lang w:val="kk-KZ"/>
        </w:rPr>
        <w:t xml:space="preserve"> жақсарту үшін ағылшын тілі курсында оқитын және шетелдерде біліктілікті арттыру бағдарламаларына қатысатын оқытушылар санын арттыру жұмыс</w:t>
      </w:r>
      <w:r w:rsidR="000419AB">
        <w:rPr>
          <w:sz w:val="24"/>
          <w:szCs w:val="24"/>
          <w:lang w:val="kk-KZ"/>
        </w:rPr>
        <w:t>ы</w:t>
      </w:r>
      <w:r>
        <w:rPr>
          <w:sz w:val="24"/>
          <w:szCs w:val="24"/>
          <w:lang w:val="kk-KZ"/>
        </w:rPr>
        <w:t xml:space="preserve"> белсендендірілсін</w:t>
      </w:r>
    </w:p>
    <w:p w:rsidR="00D21692" w:rsidRDefault="00D21692" w:rsidP="005D16AD">
      <w:pPr>
        <w:ind w:left="453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Кафедра меңгерушілері, </w:t>
      </w:r>
      <w:r w:rsidRPr="00593109">
        <w:rPr>
          <w:sz w:val="24"/>
          <w:szCs w:val="24"/>
          <w:lang w:val="kk-KZ"/>
        </w:rPr>
        <w:t>профессорлық-оқытушылар құрамы</w:t>
      </w:r>
      <w:r>
        <w:rPr>
          <w:sz w:val="24"/>
          <w:szCs w:val="24"/>
          <w:lang w:val="kk-KZ"/>
        </w:rPr>
        <w:t xml:space="preserve">, </w:t>
      </w:r>
      <w:r w:rsidR="005D16AD">
        <w:rPr>
          <w:sz w:val="24"/>
          <w:szCs w:val="24"/>
          <w:lang w:val="kk-KZ"/>
        </w:rPr>
        <w:t>х</w:t>
      </w:r>
      <w:r>
        <w:rPr>
          <w:sz w:val="24"/>
          <w:szCs w:val="24"/>
          <w:lang w:val="kk-KZ"/>
        </w:rPr>
        <w:t>алықаралық</w:t>
      </w:r>
      <w:r w:rsidR="000419AB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байланыстар бөлімі, оқу-әдістемелік басқарма</w:t>
      </w:r>
    </w:p>
    <w:p w:rsidR="005D16AD" w:rsidRDefault="00D21692" w:rsidP="005D16AD">
      <w:pPr>
        <w:ind w:left="4536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2016-2017 оқу жылы барысында</w:t>
      </w:r>
    </w:p>
    <w:p w:rsidR="00D21692" w:rsidRDefault="00D21692" w:rsidP="00D21692">
      <w:pPr>
        <w:ind w:firstLine="708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4. Осы шешімнің орындалуын бақылау оқу және тәрбие жұмысы </w:t>
      </w:r>
      <w:r w:rsidR="000419AB">
        <w:rPr>
          <w:sz w:val="24"/>
          <w:szCs w:val="24"/>
          <w:lang w:val="kk-KZ"/>
        </w:rPr>
        <w:t>жөніндегі</w:t>
      </w:r>
      <w:r>
        <w:rPr>
          <w:sz w:val="24"/>
          <w:szCs w:val="24"/>
          <w:lang w:val="kk-KZ"/>
        </w:rPr>
        <w:t xml:space="preserve"> проректор А.А.Әбсадықовқа жүктелсін</w:t>
      </w:r>
      <w:r w:rsidR="000419AB">
        <w:rPr>
          <w:sz w:val="24"/>
          <w:szCs w:val="24"/>
          <w:lang w:val="kk-KZ"/>
        </w:rPr>
        <w:t>.</w:t>
      </w:r>
    </w:p>
    <w:p w:rsidR="00D21692" w:rsidRPr="00593109" w:rsidRDefault="00D21692" w:rsidP="00D21692">
      <w:pPr>
        <w:ind w:firstLine="708"/>
        <w:jc w:val="both"/>
        <w:rPr>
          <w:sz w:val="24"/>
          <w:szCs w:val="24"/>
          <w:lang w:val="kk-KZ"/>
        </w:rPr>
      </w:pPr>
    </w:p>
    <w:p w:rsidR="00C75594" w:rsidRDefault="003F320A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1312DB05" wp14:editId="5568FDCC">
            <wp:extent cx="5940425" cy="1860555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244" w:rsidRDefault="00443244">
      <w:pPr>
        <w:rPr>
          <w:lang w:val="kk-KZ"/>
        </w:rPr>
      </w:pPr>
      <w:bookmarkStart w:id="0" w:name="_GoBack"/>
      <w:bookmarkEnd w:id="0"/>
    </w:p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46"/>
      </w:tblGrid>
      <w:tr w:rsidR="005D16AD" w:rsidRPr="0028141E" w:rsidTr="001F626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</w:t>
            </w:r>
            <w:r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</w:t>
            </w: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«А.Байтұрсынов атындағы </w:t>
            </w:r>
          </w:p>
          <w:p w:rsidR="005D16AD" w:rsidRPr="00F12D24" w:rsidRDefault="005D16AD" w:rsidP="001F6261">
            <w:pPr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Қостанай мемлекеттік </w:t>
            </w:r>
          </w:p>
          <w:p w:rsidR="005D16AD" w:rsidRPr="00F12D24" w:rsidRDefault="005D16AD" w:rsidP="001F6261">
            <w:pPr>
              <w:rPr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      РГП «Костанайский </w:t>
            </w:r>
          </w:p>
          <w:p w:rsidR="005D16AD" w:rsidRPr="00F12D24" w:rsidRDefault="005D16AD" w:rsidP="001F6261">
            <w:pPr>
              <w:jc w:val="right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государственный университет </w:t>
            </w:r>
          </w:p>
          <w:p w:rsidR="005D16AD" w:rsidRDefault="005D16AD" w:rsidP="001F6261">
            <w:pPr>
              <w:jc w:val="center"/>
              <w:rPr>
                <w:rStyle w:val="s1"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       имени А.Байтурсынова</w:t>
            </w:r>
            <w:r>
              <w:rPr>
                <w:rStyle w:val="s1"/>
                <w:color w:val="000000"/>
                <w:sz w:val="24"/>
                <w:szCs w:val="24"/>
                <w:lang w:val="kk-KZ"/>
              </w:rPr>
              <w:t>»</w:t>
            </w:r>
          </w:p>
          <w:p w:rsidR="005D16AD" w:rsidRPr="00F12D24" w:rsidRDefault="005D16AD" w:rsidP="001F6261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</w:tr>
      <w:tr w:rsidR="005D16AD" w:rsidRPr="0028141E" w:rsidTr="001F626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jc w:val="center"/>
              <w:rPr>
                <w:color w:val="000000"/>
                <w:sz w:val="24"/>
                <w:szCs w:val="24"/>
              </w:rPr>
            </w:pPr>
            <w:r w:rsidRPr="00F12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16AD" w:rsidRPr="0028141E" w:rsidTr="001F626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 xml:space="preserve">                 ШЕШІМ                                                                       </w:t>
            </w:r>
          </w:p>
          <w:p w:rsidR="005D16AD" w:rsidRPr="00F12D24" w:rsidRDefault="005D16AD" w:rsidP="001F6261">
            <w:pPr>
              <w:rPr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ғылыми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jc w:val="center"/>
              <w:rPr>
                <w:rStyle w:val="s1"/>
                <w:b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b/>
                <w:color w:val="000000"/>
                <w:sz w:val="24"/>
                <w:szCs w:val="24"/>
                <w:lang w:val="kk-KZ"/>
              </w:rPr>
              <w:t xml:space="preserve">                       РЕШЕНИЕ</w:t>
            </w:r>
          </w:p>
          <w:p w:rsidR="005D16AD" w:rsidRPr="00F12D24" w:rsidRDefault="005D16AD" w:rsidP="001F6261">
            <w:pPr>
              <w:rPr>
                <w:b/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                     </w:t>
            </w:r>
            <w:r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</w:t>
            </w: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ученого совета</w:t>
            </w:r>
          </w:p>
        </w:tc>
      </w:tr>
      <w:tr w:rsidR="005D16AD" w:rsidRPr="0028141E" w:rsidTr="001F626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rPr>
                <w:sz w:val="24"/>
                <w:szCs w:val="24"/>
              </w:rPr>
            </w:pPr>
            <w:r w:rsidRPr="00F12D24">
              <w:rPr>
                <w:sz w:val="24"/>
                <w:szCs w:val="24"/>
                <w:lang w:val="kk-KZ"/>
              </w:rPr>
              <w:t xml:space="preserve">              28.10.2016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F12D24">
              <w:rPr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color w:val="000000"/>
                <w:sz w:val="24"/>
                <w:szCs w:val="24"/>
                <w:lang w:val="kk-KZ"/>
              </w:rPr>
              <w:t>№ 13-2</w:t>
            </w:r>
          </w:p>
        </w:tc>
      </w:tr>
      <w:tr w:rsidR="005D16AD" w:rsidRPr="0028141E" w:rsidTr="001F626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rPr>
                <w:color w:val="FF0000"/>
                <w:sz w:val="24"/>
                <w:szCs w:val="24"/>
              </w:rPr>
            </w:pPr>
            <w:r w:rsidRPr="00F12D24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jc w:val="right"/>
              <w:rPr>
                <w:color w:val="000000"/>
                <w:sz w:val="24"/>
                <w:szCs w:val="24"/>
              </w:rPr>
            </w:pPr>
            <w:r w:rsidRPr="00F12D2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16AD" w:rsidRPr="0028141E" w:rsidTr="001F626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rPr>
                <w:color w:val="000000"/>
                <w:sz w:val="24"/>
                <w:szCs w:val="24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6AD" w:rsidRPr="00F12D24" w:rsidRDefault="005D16AD" w:rsidP="001F6261">
            <w:pPr>
              <w:rPr>
                <w:color w:val="000000"/>
                <w:sz w:val="24"/>
                <w:szCs w:val="24"/>
              </w:rPr>
            </w:pPr>
            <w:r w:rsidRPr="00F12D24">
              <w:rPr>
                <w:rStyle w:val="s1"/>
                <w:color w:val="000000"/>
                <w:sz w:val="24"/>
                <w:szCs w:val="24"/>
                <w:lang w:val="kk-KZ"/>
              </w:rPr>
              <w:t xml:space="preserve">                                    город Костанай</w:t>
            </w:r>
          </w:p>
        </w:tc>
      </w:tr>
    </w:tbl>
    <w:p w:rsidR="005D16AD" w:rsidRDefault="005D16AD" w:rsidP="005D16AD">
      <w:pPr>
        <w:widowControl w:val="0"/>
        <w:ind w:firstLine="709"/>
        <w:jc w:val="both"/>
        <w:rPr>
          <w:sz w:val="24"/>
          <w:szCs w:val="24"/>
        </w:rPr>
      </w:pPr>
    </w:p>
    <w:p w:rsidR="005D16AD" w:rsidRPr="00F12D24" w:rsidRDefault="005D16AD" w:rsidP="005D16AD">
      <w:pPr>
        <w:widowControl w:val="0"/>
        <w:ind w:firstLine="709"/>
        <w:jc w:val="both"/>
        <w:rPr>
          <w:sz w:val="24"/>
          <w:szCs w:val="24"/>
        </w:rPr>
      </w:pPr>
      <w:r w:rsidRPr="00F12D24">
        <w:rPr>
          <w:sz w:val="24"/>
          <w:szCs w:val="24"/>
        </w:rPr>
        <w:t xml:space="preserve">Заслушав и обсудив </w:t>
      </w:r>
      <w:r>
        <w:rPr>
          <w:sz w:val="24"/>
          <w:szCs w:val="24"/>
          <w:lang w:val="kk-KZ"/>
        </w:rPr>
        <w:t xml:space="preserve">доклад </w:t>
      </w:r>
      <w:r w:rsidRPr="00F12D24">
        <w:rPr>
          <w:sz w:val="24"/>
          <w:szCs w:val="24"/>
          <w:lang w:val="kk-KZ"/>
        </w:rPr>
        <w:t>декана юридического факультета Турлубекова Б.</w:t>
      </w:r>
      <w:proofErr w:type="gramStart"/>
      <w:r w:rsidRPr="00F12D24">
        <w:rPr>
          <w:sz w:val="24"/>
          <w:szCs w:val="24"/>
          <w:lang w:val="kk-KZ"/>
        </w:rPr>
        <w:t>С</w:t>
      </w:r>
      <w:proofErr w:type="gramEnd"/>
      <w:r w:rsidRPr="00F12D24">
        <w:rPr>
          <w:sz w:val="24"/>
          <w:szCs w:val="24"/>
          <w:lang w:val="kk-KZ"/>
        </w:rPr>
        <w:t xml:space="preserve"> </w:t>
      </w:r>
      <w:r w:rsidRPr="00F12D24">
        <w:rPr>
          <w:rFonts w:eastAsia="Calibri"/>
          <w:sz w:val="24"/>
          <w:szCs w:val="24"/>
          <w:lang w:val="kk-KZ"/>
        </w:rPr>
        <w:t>«</w:t>
      </w:r>
      <w:proofErr w:type="gramStart"/>
      <w:r w:rsidRPr="00F12D24">
        <w:rPr>
          <w:sz w:val="24"/>
          <w:szCs w:val="24"/>
        </w:rPr>
        <w:t>О</w:t>
      </w:r>
      <w:proofErr w:type="gramEnd"/>
      <w:r w:rsidRPr="00F12D24">
        <w:rPr>
          <w:sz w:val="24"/>
          <w:szCs w:val="24"/>
        </w:rPr>
        <w:t xml:space="preserve"> </w:t>
      </w:r>
      <w:r w:rsidRPr="00F12D24">
        <w:rPr>
          <w:sz w:val="24"/>
          <w:szCs w:val="24"/>
          <w:lang w:val="kk-KZ"/>
        </w:rPr>
        <w:t>состоянии</w:t>
      </w:r>
      <w:r w:rsidRPr="00F12D24">
        <w:rPr>
          <w:sz w:val="24"/>
          <w:szCs w:val="24"/>
        </w:rPr>
        <w:t xml:space="preserve"> кадрового потенциала факультета и тенденциях его развития (на примере ЮФ)»,</w:t>
      </w:r>
      <w:r w:rsidRPr="00F12D24">
        <w:rPr>
          <w:sz w:val="24"/>
          <w:szCs w:val="24"/>
          <w:lang w:val="kk-KZ"/>
        </w:rPr>
        <w:t xml:space="preserve"> </w:t>
      </w:r>
      <w:r w:rsidRPr="00F12D24">
        <w:rPr>
          <w:sz w:val="24"/>
          <w:szCs w:val="24"/>
        </w:rPr>
        <w:t>ученый совет отмечает</w:t>
      </w:r>
      <w:r>
        <w:rPr>
          <w:sz w:val="24"/>
          <w:szCs w:val="24"/>
          <w:lang w:val="kk-KZ"/>
        </w:rPr>
        <w:t>, что</w:t>
      </w:r>
      <w:r w:rsidRPr="00F12D24">
        <w:rPr>
          <w:sz w:val="24"/>
          <w:szCs w:val="24"/>
        </w:rPr>
        <w:t xml:space="preserve"> факультетом проведена определенная работа </w:t>
      </w:r>
      <w:r w:rsidRPr="00F12D24">
        <w:rPr>
          <w:bCs/>
          <w:sz w:val="24"/>
          <w:szCs w:val="24"/>
        </w:rPr>
        <w:t xml:space="preserve">по формированию </w:t>
      </w:r>
      <w:r w:rsidRPr="00F12D24">
        <w:rPr>
          <w:sz w:val="24"/>
          <w:szCs w:val="24"/>
        </w:rPr>
        <w:t>кадрового потенциал</w:t>
      </w:r>
      <w:r>
        <w:rPr>
          <w:sz w:val="24"/>
          <w:szCs w:val="24"/>
        </w:rPr>
        <w:t>а</w:t>
      </w:r>
      <w:r w:rsidRPr="00F12D24">
        <w:rPr>
          <w:sz w:val="24"/>
          <w:szCs w:val="24"/>
        </w:rPr>
        <w:t xml:space="preserve"> юридического факультета.</w:t>
      </w:r>
    </w:p>
    <w:p w:rsidR="005D16AD" w:rsidRDefault="005D16AD" w:rsidP="005D16AD">
      <w:pPr>
        <w:pStyle w:val="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12D24">
        <w:rPr>
          <w:sz w:val="24"/>
          <w:szCs w:val="24"/>
        </w:rPr>
        <w:t xml:space="preserve">Вместе с тем, некоторые направления работы </w:t>
      </w:r>
      <w:r>
        <w:rPr>
          <w:sz w:val="24"/>
          <w:szCs w:val="24"/>
        </w:rPr>
        <w:t>по повышению кадрового и научного потенциала</w:t>
      </w:r>
      <w:r w:rsidRPr="00F12D24">
        <w:rPr>
          <w:sz w:val="24"/>
          <w:szCs w:val="24"/>
        </w:rPr>
        <w:t xml:space="preserve"> факультета требуют своего дальнейшего совершенствования.</w:t>
      </w:r>
      <w:r>
        <w:rPr>
          <w:sz w:val="24"/>
          <w:szCs w:val="24"/>
          <w:lang w:val="kk-KZ"/>
        </w:rPr>
        <w:t xml:space="preserve"> </w:t>
      </w:r>
      <w:r w:rsidRPr="00F12D24">
        <w:rPr>
          <w:sz w:val="24"/>
          <w:szCs w:val="24"/>
        </w:rPr>
        <w:t>В силу выше изложенного, ученый совет</w:t>
      </w:r>
    </w:p>
    <w:p w:rsidR="005D16AD" w:rsidRPr="00890954" w:rsidRDefault="005D16AD" w:rsidP="005D16AD">
      <w:pPr>
        <w:pStyle w:val="2"/>
        <w:shd w:val="clear" w:color="auto" w:fill="auto"/>
        <w:spacing w:line="240" w:lineRule="auto"/>
        <w:ind w:firstLine="0"/>
        <w:jc w:val="left"/>
        <w:rPr>
          <w:b/>
          <w:sz w:val="24"/>
          <w:szCs w:val="24"/>
        </w:rPr>
      </w:pPr>
      <w:r w:rsidRPr="00890954">
        <w:rPr>
          <w:b/>
          <w:sz w:val="24"/>
          <w:szCs w:val="24"/>
        </w:rPr>
        <w:t>РЕШИЛ:</w:t>
      </w:r>
    </w:p>
    <w:p w:rsidR="005D16AD" w:rsidRPr="00890954" w:rsidRDefault="005D16AD" w:rsidP="005D16AD">
      <w:pPr>
        <w:pStyle w:val="a6"/>
        <w:numPr>
          <w:ilvl w:val="0"/>
          <w:numId w:val="1"/>
        </w:numPr>
        <w:jc w:val="both"/>
        <w:rPr>
          <w:sz w:val="24"/>
          <w:szCs w:val="24"/>
          <w:shd w:val="clear" w:color="auto" w:fill="FFFFFF"/>
          <w:lang w:val="kk-KZ"/>
        </w:rPr>
      </w:pPr>
      <w:r w:rsidRPr="00890954">
        <w:rPr>
          <w:sz w:val="24"/>
          <w:szCs w:val="24"/>
          <w:shd w:val="clear" w:color="auto" w:fill="FFFFFF"/>
        </w:rPr>
        <w:t>Разработать программ</w:t>
      </w:r>
      <w:r>
        <w:rPr>
          <w:sz w:val="24"/>
          <w:szCs w:val="24"/>
          <w:shd w:val="clear" w:color="auto" w:fill="FFFFFF"/>
        </w:rPr>
        <w:t>ы</w:t>
      </w:r>
      <w:r w:rsidRPr="00890954">
        <w:rPr>
          <w:sz w:val="24"/>
          <w:szCs w:val="24"/>
          <w:shd w:val="clear" w:color="auto" w:fill="FFFFFF"/>
        </w:rPr>
        <w:t xml:space="preserve"> развития кадрового потенциала факультет</w:t>
      </w:r>
      <w:r>
        <w:rPr>
          <w:sz w:val="24"/>
          <w:szCs w:val="24"/>
          <w:shd w:val="clear" w:color="auto" w:fill="FFFFFF"/>
        </w:rPr>
        <w:t>ов</w:t>
      </w:r>
    </w:p>
    <w:p w:rsidR="005D16AD" w:rsidRPr="000E4F36" w:rsidRDefault="005D16AD" w:rsidP="005D16AD">
      <w:pPr>
        <w:ind w:left="3828" w:firstLine="1275"/>
        <w:jc w:val="both"/>
        <w:rPr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shd w:val="clear" w:color="auto" w:fill="FFFFFF"/>
        </w:rPr>
        <w:t>Деканы факультетов</w:t>
      </w:r>
    </w:p>
    <w:p w:rsidR="005D16AD" w:rsidRPr="00890954" w:rsidRDefault="005D16AD" w:rsidP="005D16AD">
      <w:pPr>
        <w:ind w:left="3828" w:firstLine="1275"/>
        <w:jc w:val="both"/>
        <w:rPr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shd w:val="clear" w:color="auto" w:fill="FFFFFF"/>
        </w:rPr>
        <w:t>до 1 декабря 2016 года</w:t>
      </w:r>
    </w:p>
    <w:p w:rsidR="005D16AD" w:rsidRPr="00890954" w:rsidRDefault="005D16AD" w:rsidP="005D16AD">
      <w:pPr>
        <w:widowControl w:val="0"/>
        <w:ind w:firstLine="708"/>
        <w:jc w:val="both"/>
        <w:rPr>
          <w:sz w:val="24"/>
          <w:szCs w:val="24"/>
          <w:lang w:val="kk-KZ"/>
        </w:rPr>
      </w:pPr>
      <w:r w:rsidRPr="00F12D24">
        <w:rPr>
          <w:sz w:val="24"/>
          <w:szCs w:val="24"/>
        </w:rPr>
        <w:t xml:space="preserve">2. В целях </w:t>
      </w:r>
      <w:r>
        <w:rPr>
          <w:sz w:val="24"/>
          <w:szCs w:val="24"/>
        </w:rPr>
        <w:t xml:space="preserve">создания базы для развития кадрового потенциала и </w:t>
      </w:r>
      <w:r w:rsidRPr="00F12D24">
        <w:rPr>
          <w:sz w:val="24"/>
          <w:szCs w:val="24"/>
        </w:rPr>
        <w:t xml:space="preserve">повышения </w:t>
      </w:r>
      <w:proofErr w:type="spellStart"/>
      <w:r w:rsidRPr="00F12D24">
        <w:rPr>
          <w:sz w:val="24"/>
          <w:szCs w:val="24"/>
        </w:rPr>
        <w:t>остепененности</w:t>
      </w:r>
      <w:proofErr w:type="spellEnd"/>
      <w:r w:rsidRPr="00F12D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ППС завершить </w:t>
      </w:r>
      <w:r w:rsidRPr="00F12D24">
        <w:rPr>
          <w:sz w:val="24"/>
          <w:szCs w:val="24"/>
        </w:rPr>
        <w:t>работ</w:t>
      </w:r>
      <w:r>
        <w:rPr>
          <w:sz w:val="24"/>
          <w:szCs w:val="24"/>
        </w:rPr>
        <w:t>у</w:t>
      </w:r>
      <w:r w:rsidRPr="00F12D24">
        <w:rPr>
          <w:sz w:val="24"/>
          <w:szCs w:val="24"/>
        </w:rPr>
        <w:t xml:space="preserve"> по открыти</w:t>
      </w:r>
      <w:r>
        <w:rPr>
          <w:sz w:val="24"/>
          <w:szCs w:val="24"/>
        </w:rPr>
        <w:t>ю на факультетах соответствующих специальностей послевузовского образования</w:t>
      </w:r>
      <w:r w:rsidRPr="00F12D24">
        <w:rPr>
          <w:sz w:val="24"/>
          <w:szCs w:val="24"/>
        </w:rPr>
        <w:t xml:space="preserve"> </w:t>
      </w:r>
      <w:r>
        <w:rPr>
          <w:sz w:val="24"/>
          <w:szCs w:val="24"/>
        </w:rPr>
        <w:t>(магистратура, докторантура) в соответствие с планом УНПО</w:t>
      </w:r>
    </w:p>
    <w:p w:rsidR="005D16AD" w:rsidRPr="00890954" w:rsidRDefault="005D16AD" w:rsidP="005D16AD">
      <w:pPr>
        <w:ind w:left="5103"/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 xml:space="preserve">Деканы факультетов, </w:t>
      </w:r>
    </w:p>
    <w:p w:rsidR="005D16AD" w:rsidRPr="00F12D24" w:rsidRDefault="005D16AD" w:rsidP="005D16AD">
      <w:pPr>
        <w:ind w:left="5103"/>
        <w:jc w:val="both"/>
        <w:rPr>
          <w:sz w:val="24"/>
          <w:szCs w:val="24"/>
        </w:rPr>
      </w:pPr>
      <w:r w:rsidRPr="00F12D24">
        <w:rPr>
          <w:sz w:val="24"/>
          <w:szCs w:val="24"/>
        </w:rPr>
        <w:t>управление науки и послевузовского образования,</w:t>
      </w:r>
    </w:p>
    <w:p w:rsidR="005D16AD" w:rsidRPr="00F12D24" w:rsidRDefault="005D16AD" w:rsidP="005D16AD">
      <w:pPr>
        <w:pStyle w:val="2"/>
        <w:shd w:val="clear" w:color="auto" w:fill="auto"/>
        <w:spacing w:line="240" w:lineRule="auto"/>
        <w:ind w:left="5103" w:firstLine="0"/>
        <w:jc w:val="both"/>
        <w:rPr>
          <w:sz w:val="24"/>
          <w:szCs w:val="24"/>
          <w:lang w:val="kk-KZ"/>
        </w:rPr>
      </w:pPr>
      <w:r w:rsidRPr="00F12D24">
        <w:rPr>
          <w:sz w:val="24"/>
          <w:szCs w:val="24"/>
          <w:lang w:val="kk-KZ"/>
        </w:rPr>
        <w:t>завед</w:t>
      </w:r>
      <w:r>
        <w:rPr>
          <w:sz w:val="24"/>
          <w:szCs w:val="24"/>
          <w:lang w:val="kk-KZ"/>
        </w:rPr>
        <w:t>ующие кафедрами</w:t>
      </w:r>
    </w:p>
    <w:p w:rsidR="005D16AD" w:rsidRPr="00890954" w:rsidRDefault="005D16AD" w:rsidP="005D16AD">
      <w:pPr>
        <w:pStyle w:val="2"/>
        <w:shd w:val="clear" w:color="auto" w:fill="auto"/>
        <w:spacing w:line="240" w:lineRule="auto"/>
        <w:ind w:left="5103" w:firstLine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до мая 2017 года</w:t>
      </w:r>
    </w:p>
    <w:p w:rsidR="005D16AD" w:rsidRPr="00890954" w:rsidRDefault="005D16AD" w:rsidP="005D16AD">
      <w:pPr>
        <w:ind w:firstLine="709"/>
        <w:jc w:val="both"/>
        <w:rPr>
          <w:sz w:val="24"/>
          <w:szCs w:val="24"/>
          <w:lang w:val="kk-KZ" w:eastAsia="en-US"/>
        </w:rPr>
      </w:pPr>
      <w:r w:rsidRPr="00F12D24">
        <w:rPr>
          <w:sz w:val="24"/>
          <w:szCs w:val="24"/>
          <w:lang w:eastAsia="en-US"/>
        </w:rPr>
        <w:t>3.</w:t>
      </w:r>
      <w:r>
        <w:rPr>
          <w:sz w:val="24"/>
          <w:szCs w:val="24"/>
          <w:lang w:val="kk-KZ" w:eastAsia="en-US"/>
        </w:rPr>
        <w:t xml:space="preserve"> </w:t>
      </w:r>
      <w:r w:rsidRPr="00F12D24">
        <w:rPr>
          <w:sz w:val="24"/>
          <w:szCs w:val="24"/>
          <w:lang w:eastAsia="en-US"/>
        </w:rPr>
        <w:t xml:space="preserve">Для </w:t>
      </w:r>
      <w:r>
        <w:rPr>
          <w:sz w:val="24"/>
          <w:szCs w:val="24"/>
          <w:lang w:eastAsia="en-US"/>
        </w:rPr>
        <w:t xml:space="preserve">улучшения </w:t>
      </w:r>
      <w:proofErr w:type="spellStart"/>
      <w:r>
        <w:rPr>
          <w:sz w:val="24"/>
          <w:szCs w:val="24"/>
          <w:lang w:eastAsia="en-US"/>
        </w:rPr>
        <w:t>полиязычной</w:t>
      </w:r>
      <w:proofErr w:type="spellEnd"/>
      <w:r>
        <w:rPr>
          <w:sz w:val="24"/>
          <w:szCs w:val="24"/>
          <w:lang w:eastAsia="en-US"/>
        </w:rPr>
        <w:t xml:space="preserve"> подготовки ППС активизировать работу по увеличению количества преподавателей, обучающихся на курсах английского языка и участвующих в программах повышения квалификации за рубежом</w:t>
      </w:r>
    </w:p>
    <w:p w:rsidR="005D16AD" w:rsidRPr="00F12D24" w:rsidRDefault="005D16AD" w:rsidP="005D16AD">
      <w:pPr>
        <w:ind w:left="5103"/>
        <w:jc w:val="both"/>
        <w:rPr>
          <w:sz w:val="24"/>
          <w:szCs w:val="24"/>
          <w:lang w:eastAsia="en-US"/>
        </w:rPr>
      </w:pPr>
      <w:r w:rsidRPr="00F12D24">
        <w:rPr>
          <w:sz w:val="24"/>
          <w:szCs w:val="24"/>
          <w:lang w:eastAsia="en-US"/>
        </w:rPr>
        <w:t xml:space="preserve">Заведующие кафедрами, ППС </w:t>
      </w:r>
    </w:p>
    <w:p w:rsidR="005D16AD" w:rsidRDefault="005D16AD" w:rsidP="005D16AD">
      <w:pPr>
        <w:widowControl w:val="0"/>
        <w:ind w:left="5103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</w:t>
      </w:r>
      <w:proofErr w:type="spellStart"/>
      <w:r w:rsidRPr="00F12D24">
        <w:rPr>
          <w:sz w:val="24"/>
          <w:szCs w:val="24"/>
        </w:rPr>
        <w:t>тдел</w:t>
      </w:r>
      <w:proofErr w:type="spellEnd"/>
      <w:r w:rsidRPr="00F12D24">
        <w:rPr>
          <w:sz w:val="24"/>
          <w:szCs w:val="24"/>
        </w:rPr>
        <w:t xml:space="preserve"> международных связей</w:t>
      </w:r>
      <w:r>
        <w:rPr>
          <w:sz w:val="24"/>
          <w:szCs w:val="24"/>
          <w:lang w:val="kk-KZ"/>
        </w:rPr>
        <w:t>,</w:t>
      </w:r>
    </w:p>
    <w:p w:rsidR="005D16AD" w:rsidRDefault="005D16AD" w:rsidP="005D16AD">
      <w:pPr>
        <w:widowControl w:val="0"/>
        <w:ind w:left="5103"/>
        <w:jc w:val="both"/>
        <w:rPr>
          <w:sz w:val="24"/>
          <w:szCs w:val="24"/>
          <w:shd w:val="clear" w:color="auto" w:fill="FFFFFF"/>
          <w:lang w:val="kk-KZ"/>
        </w:rPr>
      </w:pPr>
      <w:r>
        <w:rPr>
          <w:sz w:val="24"/>
          <w:szCs w:val="24"/>
          <w:shd w:val="clear" w:color="auto" w:fill="FFFFFF"/>
          <w:lang w:val="kk-KZ"/>
        </w:rPr>
        <w:t>учебно-методическое у</w:t>
      </w:r>
      <w:r w:rsidRPr="00F12D24">
        <w:rPr>
          <w:sz w:val="24"/>
          <w:szCs w:val="24"/>
          <w:shd w:val="clear" w:color="auto" w:fill="FFFFFF"/>
        </w:rPr>
        <w:t xml:space="preserve">правление </w:t>
      </w:r>
    </w:p>
    <w:p w:rsidR="005D16AD" w:rsidRPr="00F12D24" w:rsidRDefault="005D16AD" w:rsidP="005D16AD">
      <w:pPr>
        <w:widowControl w:val="0"/>
        <w:ind w:left="5103"/>
        <w:jc w:val="both"/>
        <w:rPr>
          <w:sz w:val="24"/>
          <w:szCs w:val="24"/>
        </w:rPr>
      </w:pPr>
      <w:r w:rsidRPr="00F12D24">
        <w:rPr>
          <w:sz w:val="24"/>
          <w:szCs w:val="24"/>
          <w:lang w:val="kk-KZ"/>
        </w:rPr>
        <w:t>в течение 2016-2017 уч.года</w:t>
      </w:r>
    </w:p>
    <w:p w:rsidR="005D16AD" w:rsidRPr="0028141E" w:rsidRDefault="005D16AD" w:rsidP="005D16AD">
      <w:pPr>
        <w:ind w:firstLine="709"/>
        <w:jc w:val="both"/>
        <w:rPr>
          <w:color w:val="000000"/>
          <w:sz w:val="28"/>
          <w:szCs w:val="28"/>
        </w:rPr>
      </w:pPr>
      <w:r w:rsidRPr="00F12D24">
        <w:rPr>
          <w:sz w:val="24"/>
          <w:szCs w:val="24"/>
          <w:lang w:eastAsia="ru-RU"/>
        </w:rPr>
        <w:t xml:space="preserve">4. Контроль исполнения данного решения возложить на проректора по учебной и воспитательной работе </w:t>
      </w:r>
      <w:proofErr w:type="spellStart"/>
      <w:r w:rsidRPr="00F12D24">
        <w:rPr>
          <w:sz w:val="24"/>
          <w:szCs w:val="24"/>
          <w:lang w:eastAsia="ru-RU"/>
        </w:rPr>
        <w:t>Абсадыкова</w:t>
      </w:r>
      <w:proofErr w:type="spellEnd"/>
      <w:r w:rsidRPr="00F12D24">
        <w:rPr>
          <w:sz w:val="24"/>
          <w:szCs w:val="24"/>
          <w:lang w:eastAsia="ru-RU"/>
        </w:rPr>
        <w:t xml:space="preserve"> А.А.</w:t>
      </w:r>
    </w:p>
    <w:p w:rsidR="005D16AD" w:rsidRDefault="005D16AD" w:rsidP="005D16AD"/>
    <w:p w:rsidR="005D16AD" w:rsidRPr="005D16AD" w:rsidRDefault="005D16AD">
      <w:r>
        <w:rPr>
          <w:noProof/>
          <w:lang w:eastAsia="ru-RU"/>
        </w:rPr>
        <w:drawing>
          <wp:inline distT="0" distB="0" distL="0" distR="0">
            <wp:extent cx="6120765" cy="1627762"/>
            <wp:effectExtent l="0" t="0" r="0" b="0"/>
            <wp:docPr id="1" name="Рисунок 1" descr="Описание: 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62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6AD" w:rsidRPr="005D16AD" w:rsidSect="00EF47BC">
      <w:foot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8D" w:rsidRDefault="006B398D">
      <w:r>
        <w:separator/>
      </w:r>
    </w:p>
  </w:endnote>
  <w:endnote w:type="continuationSeparator" w:id="0">
    <w:p w:rsidR="006B398D" w:rsidRDefault="006B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97088"/>
      <w:docPartObj>
        <w:docPartGallery w:val="Page Numbers (Bottom of Page)"/>
        <w:docPartUnique/>
      </w:docPartObj>
    </w:sdtPr>
    <w:sdtEndPr/>
    <w:sdtContent>
      <w:p w:rsidR="00EB0EE7" w:rsidRDefault="0089095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0EE7" w:rsidRDefault="006B39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8D" w:rsidRDefault="006B398D">
      <w:r>
        <w:separator/>
      </w:r>
    </w:p>
  </w:footnote>
  <w:footnote w:type="continuationSeparator" w:id="0">
    <w:p w:rsidR="006B398D" w:rsidRDefault="006B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706"/>
    <w:multiLevelType w:val="hybridMultilevel"/>
    <w:tmpl w:val="EFD2DDE0"/>
    <w:lvl w:ilvl="0" w:tplc="236E7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2C"/>
    <w:rsid w:val="000419AB"/>
    <w:rsid w:val="000C4BB5"/>
    <w:rsid w:val="000E4F36"/>
    <w:rsid w:val="00275E8C"/>
    <w:rsid w:val="003F320A"/>
    <w:rsid w:val="00443244"/>
    <w:rsid w:val="00451DE6"/>
    <w:rsid w:val="004E76F9"/>
    <w:rsid w:val="005D16AD"/>
    <w:rsid w:val="006808FD"/>
    <w:rsid w:val="006B398D"/>
    <w:rsid w:val="007A4C37"/>
    <w:rsid w:val="00861586"/>
    <w:rsid w:val="00890954"/>
    <w:rsid w:val="00906993"/>
    <w:rsid w:val="009B480B"/>
    <w:rsid w:val="00AA1617"/>
    <w:rsid w:val="00C62C1E"/>
    <w:rsid w:val="00C75594"/>
    <w:rsid w:val="00CF512C"/>
    <w:rsid w:val="00D21692"/>
    <w:rsid w:val="00D97196"/>
    <w:rsid w:val="00F13B4F"/>
    <w:rsid w:val="00F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90954"/>
  </w:style>
  <w:style w:type="paragraph" w:styleId="a3">
    <w:name w:val="footer"/>
    <w:basedOn w:val="a"/>
    <w:link w:val="a4"/>
    <w:uiPriority w:val="99"/>
    <w:unhideWhenUsed/>
    <w:rsid w:val="008909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095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_"/>
    <w:basedOn w:val="a0"/>
    <w:link w:val="2"/>
    <w:rsid w:val="008909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90954"/>
    <w:pPr>
      <w:widowControl w:val="0"/>
      <w:shd w:val="clear" w:color="auto" w:fill="FFFFFF"/>
      <w:spacing w:line="307" w:lineRule="exact"/>
      <w:ind w:hanging="280"/>
      <w:jc w:val="center"/>
    </w:pPr>
    <w:rPr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8909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1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9AB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90954"/>
  </w:style>
  <w:style w:type="paragraph" w:styleId="a3">
    <w:name w:val="footer"/>
    <w:basedOn w:val="a"/>
    <w:link w:val="a4"/>
    <w:uiPriority w:val="99"/>
    <w:unhideWhenUsed/>
    <w:rsid w:val="008909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0954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_"/>
    <w:basedOn w:val="a0"/>
    <w:link w:val="2"/>
    <w:rsid w:val="008909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890954"/>
    <w:pPr>
      <w:widowControl w:val="0"/>
      <w:shd w:val="clear" w:color="auto" w:fill="FFFFFF"/>
      <w:spacing w:line="307" w:lineRule="exact"/>
      <w:ind w:hanging="280"/>
      <w:jc w:val="center"/>
    </w:pPr>
    <w:rPr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8909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1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19AB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</dc:creator>
  <cp:lastModifiedBy>hp-1</cp:lastModifiedBy>
  <cp:revision>13</cp:revision>
  <cp:lastPrinted>2016-11-04T05:01:00Z</cp:lastPrinted>
  <dcterms:created xsi:type="dcterms:W3CDTF">2016-11-02T04:20:00Z</dcterms:created>
  <dcterms:modified xsi:type="dcterms:W3CDTF">2016-11-22T05:18:00Z</dcterms:modified>
</cp:coreProperties>
</file>